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503766</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72A793B">
      <w:pPr>
        <w:ind w:left="221" w:hanging="221" w:hangingChars="100"/>
        <w:rPr>
          <w:rFonts w:hint="eastAsia" w:ascii="Times New Roman" w:hAnsi="Times New Roman"/>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of FR2-1 SSB based L3</w:t>
      </w:r>
    </w:p>
    <w:p w14:paraId="627E5AAC">
      <w:pPr>
        <w:ind w:firstLine="1760" w:firstLineChars="800"/>
        <w:rPr>
          <w:rFonts w:hint="default" w:ascii="Times New Roman" w:hAnsi="Times New Roman" w:eastAsia="宋体"/>
          <w:sz w:val="22"/>
          <w:highlight w:val="none"/>
          <w:lang w:val="en-US" w:eastAsia="zh-CN"/>
        </w:rPr>
      </w:pPr>
      <w:r>
        <w:rPr>
          <w:rFonts w:hint="eastAsia" w:ascii="Times New Roman" w:hAnsi="Times New Roman"/>
          <w:sz w:val="22"/>
          <w:highlight w:val="none"/>
          <w:lang w:val="en-US" w:eastAsia="zh-CN"/>
        </w:rPr>
        <w:t>measurement delay reduction for connected mode</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WID on RRM enhancements was approved [1]. According to the WID, one of the objectives is FR2-1 SSB based L3 measurement delay reduction for connected mode,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E4CA1B1">
            <w:pPr>
              <w:keepNext w:val="0"/>
              <w:keepLines w:val="0"/>
              <w:pageBreakBefore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Objective of core part</w:t>
            </w:r>
          </w:p>
          <w:p w14:paraId="7E3750B6">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p w14:paraId="3B1625CA">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Objective of performance part</w:t>
            </w:r>
          </w:p>
          <w:p w14:paraId="6477FA01">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Specify RRM performance requirements and test cases for the Core part enhancements.</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This is the first meeting to discuss RRM performance requirements of FR2-1 SSB based L3 measurement delay reduction for connected mode.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initial discussion on this topic.</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39AB48C0">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2.1 Rx beam sweeping factor optimization</w:t>
      </w:r>
    </w:p>
    <w:p w14:paraId="51BC5562">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L3 measurement delay reduction by optimizing Rx BSF is to reduce measurement delay by enabling multi-Rx simultaneous reception. It is agreed that serving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signal quality (i.e., based on RSRP and/or RSRQ threshold(s)) is the triggering condition to activate/deactivate multi-Rx for L3 measurement. If the serving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signal quality is below the threshold, multi-Rx for L3 measurement is activated. If the serving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signal quality is above the threshold, multi-Rx for L3 measurement is deactivated.</w:t>
      </w:r>
    </w:p>
    <w:p w14:paraId="1B4B0E3D">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According to the core part discussion, scenario 1/2/3/4/5/7 are considered as first priority. For scenario 1/2/3/4, (De-)Activating multi-Rx for L3 measurements (intra/inter-frequency) is depending on the criteria/threshold(s) and UE current conditions. For scenario 5/7, for UE supporting Rel-19 BSF reduction capability, faster beam sweeping always applies during handover (Tsearch) and RRC re-establishment.   </w:t>
      </w:r>
    </w:p>
    <w:p w14:paraId="0E114597">
      <w:pPr>
        <w:pStyle w:val="10"/>
        <w:numPr>
          <w:ilvl w:val="0"/>
          <w:numId w:val="8"/>
        </w:numPr>
        <w:overflowPunct/>
        <w:autoSpaceDE/>
        <w:autoSpaceDN/>
        <w:adjustRightInd/>
        <w:ind w:left="420" w:leftChars="0" w:hanging="420" w:firstLineChars="0"/>
        <w:textAlignment w:val="auto"/>
        <w:rPr>
          <w:rFonts w:hint="default" w:ascii="Times New Roman" w:hAnsi="Times New Roman" w:eastAsia="宋体" w:cs="Times New Roman"/>
          <w:bCs/>
          <w:sz w:val="20"/>
          <w:szCs w:val="20"/>
          <w:u w:val="none"/>
        </w:rPr>
      </w:pPr>
      <w:r>
        <w:rPr>
          <w:rFonts w:hint="default" w:ascii="Times New Roman" w:hAnsi="Times New Roman" w:cs="Times New Roman"/>
          <w:bCs/>
          <w:sz w:val="20"/>
          <w:szCs w:val="20"/>
          <w:u w:val="none"/>
        </w:rPr>
        <w:t>Scenario 1</w:t>
      </w:r>
      <w:r>
        <w:rPr>
          <w:rFonts w:hint="default" w:ascii="Times New Roman" w:hAnsi="Times New Roman" w:eastAsia="宋体" w:cs="Times New Roman"/>
          <w:bCs/>
          <w:sz w:val="20"/>
          <w:szCs w:val="20"/>
          <w:u w:val="none"/>
        </w:rPr>
        <w:t xml:space="preserve">: SSB based Intra-frequency measurement without MG, including </w:t>
      </w:r>
      <w:r>
        <w:rPr>
          <w:rFonts w:hint="default" w:ascii="Times New Roman" w:hAnsi="Times New Roman" w:cs="Times New Roman"/>
          <w:bCs/>
          <w:sz w:val="20"/>
          <w:szCs w:val="20"/>
          <w:u w:val="none"/>
        </w:rPr>
        <w:t>T</w:t>
      </w:r>
      <w:r>
        <w:rPr>
          <w:rFonts w:hint="default" w:ascii="Times New Roman" w:hAnsi="Times New Roman" w:cs="Times New Roman"/>
          <w:bCs/>
          <w:sz w:val="20"/>
          <w:szCs w:val="20"/>
          <w:u w:val="none"/>
          <w:vertAlign w:val="subscript"/>
        </w:rPr>
        <w:t>PSS/SSS_sync_intra</w:t>
      </w:r>
      <w:r>
        <w:rPr>
          <w:rFonts w:hint="default" w:ascii="Times New Roman" w:hAnsi="Times New Roman" w:cs="Times New Roman"/>
          <w:bCs/>
          <w:sz w:val="20"/>
          <w:szCs w:val="20"/>
          <w:u w:val="none"/>
        </w:rPr>
        <w:t xml:space="preserve"> and T</w:t>
      </w:r>
      <w:r>
        <w:rPr>
          <w:rFonts w:hint="default" w:ascii="Times New Roman" w:hAnsi="Times New Roman" w:cs="Times New Roman"/>
          <w:bCs/>
          <w:sz w:val="20"/>
          <w:szCs w:val="20"/>
          <w:u w:val="none"/>
          <w:vertAlign w:val="subscript"/>
        </w:rPr>
        <w:t>SSB_measurement_period_intra</w:t>
      </w:r>
    </w:p>
    <w:p w14:paraId="47A778BD">
      <w:pPr>
        <w:pStyle w:val="10"/>
        <w:numPr>
          <w:ilvl w:val="0"/>
          <w:numId w:val="8"/>
        </w:numPr>
        <w:overflowPunct/>
        <w:autoSpaceDE/>
        <w:autoSpaceDN/>
        <w:adjustRightInd/>
        <w:ind w:left="420" w:leftChars="0" w:hanging="420" w:firstLineChars="0"/>
        <w:textAlignment w:val="auto"/>
        <w:rPr>
          <w:rFonts w:hint="default" w:ascii="Times New Roman" w:hAnsi="Times New Roman" w:eastAsia="宋体" w:cs="Times New Roman"/>
          <w:bCs/>
          <w:sz w:val="20"/>
          <w:szCs w:val="20"/>
          <w:u w:val="none"/>
        </w:rPr>
      </w:pPr>
      <w:r>
        <w:rPr>
          <w:rFonts w:hint="default" w:ascii="Times New Roman" w:hAnsi="Times New Roman" w:cs="Times New Roman"/>
          <w:bCs/>
          <w:sz w:val="20"/>
          <w:szCs w:val="20"/>
          <w:u w:val="none"/>
        </w:rPr>
        <w:t>Scenario 2</w:t>
      </w:r>
      <w:r>
        <w:rPr>
          <w:rFonts w:hint="default" w:ascii="Times New Roman" w:hAnsi="Times New Roman" w:eastAsia="宋体" w:cs="Times New Roman"/>
          <w:bCs/>
          <w:sz w:val="20"/>
          <w:szCs w:val="20"/>
          <w:u w:val="none"/>
        </w:rPr>
        <w:t xml:space="preserve">: SSB based Intra-frequency measurement with MG, including </w:t>
      </w:r>
      <w:r>
        <w:rPr>
          <w:rFonts w:hint="default" w:ascii="Times New Roman" w:hAnsi="Times New Roman" w:cs="Times New Roman"/>
          <w:bCs/>
          <w:sz w:val="20"/>
          <w:szCs w:val="20"/>
          <w:u w:val="none"/>
        </w:rPr>
        <w:t>T</w:t>
      </w:r>
      <w:r>
        <w:rPr>
          <w:rFonts w:hint="default" w:ascii="Times New Roman" w:hAnsi="Times New Roman" w:cs="Times New Roman"/>
          <w:bCs/>
          <w:sz w:val="20"/>
          <w:szCs w:val="20"/>
          <w:u w:val="none"/>
          <w:vertAlign w:val="subscript"/>
        </w:rPr>
        <w:t>PSS/SSS_sync_intra</w:t>
      </w:r>
      <w:r>
        <w:rPr>
          <w:rFonts w:hint="default" w:ascii="Times New Roman" w:hAnsi="Times New Roman" w:cs="Times New Roman"/>
          <w:bCs/>
          <w:sz w:val="20"/>
          <w:szCs w:val="20"/>
          <w:u w:val="none"/>
        </w:rPr>
        <w:t xml:space="preserve"> and T</w:t>
      </w:r>
      <w:r>
        <w:rPr>
          <w:rFonts w:hint="default" w:ascii="Times New Roman" w:hAnsi="Times New Roman" w:cs="Times New Roman"/>
          <w:bCs/>
          <w:sz w:val="20"/>
          <w:szCs w:val="20"/>
          <w:u w:val="none"/>
          <w:vertAlign w:val="subscript"/>
        </w:rPr>
        <w:t>SSB_measurement_period_intra</w:t>
      </w:r>
    </w:p>
    <w:p w14:paraId="7ECFBE0D">
      <w:pPr>
        <w:pStyle w:val="10"/>
        <w:numPr>
          <w:ilvl w:val="0"/>
          <w:numId w:val="8"/>
        </w:numPr>
        <w:overflowPunct/>
        <w:autoSpaceDE/>
        <w:autoSpaceDN/>
        <w:adjustRightInd/>
        <w:ind w:left="420" w:leftChars="0" w:hanging="420" w:firstLineChars="0"/>
        <w:textAlignment w:val="auto"/>
        <w:rPr>
          <w:rFonts w:hint="default" w:ascii="Times New Roman" w:hAnsi="Times New Roman" w:eastAsia="宋体" w:cs="Times New Roman"/>
          <w:bCs/>
          <w:sz w:val="20"/>
          <w:szCs w:val="20"/>
          <w:u w:val="none"/>
        </w:rPr>
      </w:pPr>
      <w:r>
        <w:rPr>
          <w:rFonts w:hint="default" w:ascii="Times New Roman" w:hAnsi="Times New Roman" w:cs="Times New Roman"/>
          <w:bCs/>
          <w:sz w:val="20"/>
          <w:szCs w:val="20"/>
          <w:u w:val="none"/>
        </w:rPr>
        <w:t>Scenario 3</w:t>
      </w:r>
      <w:r>
        <w:rPr>
          <w:rFonts w:hint="default" w:ascii="Times New Roman" w:hAnsi="Times New Roman" w:eastAsia="宋体" w:cs="Times New Roman"/>
          <w:bCs/>
          <w:sz w:val="20"/>
          <w:szCs w:val="20"/>
          <w:u w:val="none"/>
        </w:rPr>
        <w:t xml:space="preserve">: SSB based Inter-frequency measurement without MG, including </w:t>
      </w:r>
      <w:r>
        <w:rPr>
          <w:rFonts w:hint="default" w:ascii="Times New Roman" w:hAnsi="Times New Roman" w:cs="Times New Roman"/>
          <w:bCs/>
          <w:sz w:val="20"/>
          <w:szCs w:val="20"/>
          <w:u w:val="none"/>
        </w:rPr>
        <w:t>T</w:t>
      </w:r>
      <w:r>
        <w:rPr>
          <w:rFonts w:hint="default" w:ascii="Times New Roman" w:hAnsi="Times New Roman" w:cs="Times New Roman"/>
          <w:bCs/>
          <w:sz w:val="20"/>
          <w:szCs w:val="20"/>
          <w:u w:val="none"/>
          <w:vertAlign w:val="subscript"/>
        </w:rPr>
        <w:t>PSS/SSS_sync_inter</w:t>
      </w:r>
      <w:r>
        <w:rPr>
          <w:rFonts w:hint="default" w:ascii="Times New Roman" w:hAnsi="Times New Roman" w:cs="Times New Roman"/>
          <w:bCs/>
          <w:sz w:val="20"/>
          <w:szCs w:val="20"/>
          <w:u w:val="none"/>
        </w:rPr>
        <w:t>, T</w:t>
      </w:r>
      <w:r>
        <w:rPr>
          <w:rFonts w:hint="default" w:ascii="Times New Roman" w:hAnsi="Times New Roman" w:cs="Times New Roman"/>
          <w:bCs/>
          <w:sz w:val="20"/>
          <w:szCs w:val="20"/>
          <w:u w:val="none"/>
          <w:vertAlign w:val="subscript"/>
        </w:rPr>
        <w:t>SSB_time_index_inter</w:t>
      </w:r>
      <w:r>
        <w:rPr>
          <w:rFonts w:hint="default" w:ascii="Times New Roman" w:hAnsi="Times New Roman" w:cs="Times New Roman"/>
          <w:bCs/>
          <w:sz w:val="20"/>
          <w:szCs w:val="20"/>
          <w:u w:val="none"/>
        </w:rPr>
        <w:t xml:space="preserve"> and T</w:t>
      </w:r>
      <w:r>
        <w:rPr>
          <w:rFonts w:hint="default" w:ascii="Times New Roman" w:hAnsi="Times New Roman" w:cs="Times New Roman"/>
          <w:bCs/>
          <w:sz w:val="20"/>
          <w:szCs w:val="20"/>
          <w:u w:val="none"/>
          <w:vertAlign w:val="subscript"/>
        </w:rPr>
        <w:t>SSB_measurement_period_inter</w:t>
      </w:r>
    </w:p>
    <w:p w14:paraId="02BAFF4C">
      <w:pPr>
        <w:pStyle w:val="10"/>
        <w:numPr>
          <w:ilvl w:val="0"/>
          <w:numId w:val="8"/>
        </w:numPr>
        <w:overflowPunct/>
        <w:autoSpaceDE/>
        <w:autoSpaceDN/>
        <w:adjustRightInd/>
        <w:ind w:left="420" w:leftChars="0" w:hanging="420" w:firstLineChars="0"/>
        <w:textAlignment w:val="auto"/>
        <w:rPr>
          <w:rFonts w:hint="default" w:ascii="Times New Roman" w:hAnsi="Times New Roman" w:eastAsia="宋体" w:cs="Times New Roman"/>
          <w:bCs/>
          <w:sz w:val="20"/>
          <w:szCs w:val="20"/>
          <w:u w:val="none"/>
        </w:rPr>
      </w:pPr>
      <w:r>
        <w:rPr>
          <w:rFonts w:hint="default" w:ascii="Times New Roman" w:hAnsi="Times New Roman" w:cs="Times New Roman"/>
          <w:bCs/>
          <w:sz w:val="20"/>
          <w:szCs w:val="20"/>
          <w:u w:val="none"/>
        </w:rPr>
        <w:t>Scenario 4</w:t>
      </w:r>
      <w:r>
        <w:rPr>
          <w:rFonts w:hint="default" w:ascii="Times New Roman" w:hAnsi="Times New Roman" w:eastAsia="宋体" w:cs="Times New Roman"/>
          <w:bCs/>
          <w:sz w:val="20"/>
          <w:szCs w:val="20"/>
          <w:u w:val="none"/>
        </w:rPr>
        <w:t xml:space="preserve">: SSB based Inter-frequency measurement with MG, including </w:t>
      </w:r>
      <w:r>
        <w:rPr>
          <w:rFonts w:hint="default" w:ascii="Times New Roman" w:hAnsi="Times New Roman" w:cs="Times New Roman"/>
          <w:bCs/>
          <w:sz w:val="20"/>
          <w:szCs w:val="20"/>
          <w:u w:val="none"/>
        </w:rPr>
        <w:t>T</w:t>
      </w:r>
      <w:r>
        <w:rPr>
          <w:rFonts w:hint="default" w:ascii="Times New Roman" w:hAnsi="Times New Roman" w:cs="Times New Roman"/>
          <w:bCs/>
          <w:sz w:val="20"/>
          <w:szCs w:val="20"/>
          <w:u w:val="none"/>
          <w:vertAlign w:val="subscript"/>
        </w:rPr>
        <w:t>PSS/SSS_sync_inter</w:t>
      </w:r>
      <w:r>
        <w:rPr>
          <w:rFonts w:hint="default" w:ascii="Times New Roman" w:hAnsi="Times New Roman" w:cs="Times New Roman"/>
          <w:bCs/>
          <w:sz w:val="20"/>
          <w:szCs w:val="20"/>
          <w:u w:val="none"/>
        </w:rPr>
        <w:t>,  T</w:t>
      </w:r>
      <w:r>
        <w:rPr>
          <w:rFonts w:hint="default" w:ascii="Times New Roman" w:hAnsi="Times New Roman" w:cs="Times New Roman"/>
          <w:bCs/>
          <w:sz w:val="20"/>
          <w:szCs w:val="20"/>
          <w:u w:val="none"/>
          <w:vertAlign w:val="subscript"/>
        </w:rPr>
        <w:t>SSB_time_index_inter</w:t>
      </w:r>
      <w:r>
        <w:rPr>
          <w:rFonts w:hint="default" w:ascii="Times New Roman" w:hAnsi="Times New Roman" w:cs="Times New Roman"/>
          <w:bCs/>
          <w:sz w:val="20"/>
          <w:szCs w:val="20"/>
          <w:u w:val="none"/>
        </w:rPr>
        <w:t xml:space="preserve"> and T</w:t>
      </w:r>
      <w:r>
        <w:rPr>
          <w:rFonts w:hint="default" w:ascii="Times New Roman" w:hAnsi="Times New Roman" w:cs="Times New Roman"/>
          <w:bCs/>
          <w:sz w:val="20"/>
          <w:szCs w:val="20"/>
          <w:u w:val="none"/>
          <w:vertAlign w:val="subscript"/>
        </w:rPr>
        <w:t>SSB_measurement_period_inter</w:t>
      </w:r>
    </w:p>
    <w:p w14:paraId="531D8CD0">
      <w:pPr>
        <w:keepNext w:val="0"/>
        <w:keepLines w:val="0"/>
        <w:pageBreakBefore w:val="0"/>
        <w:numPr>
          <w:ilvl w:val="0"/>
          <w:numId w:val="8"/>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u w:val="none"/>
          <w:lang w:val="en-US" w:eastAsia="zh-CN"/>
        </w:rPr>
      </w:pPr>
      <w:r>
        <w:rPr>
          <w:rFonts w:hint="default" w:ascii="Times New Roman" w:hAnsi="Times New Roman" w:cs="Times New Roman"/>
          <w:bCs/>
          <w:sz w:val="20"/>
          <w:szCs w:val="20"/>
          <w:u w:val="none"/>
        </w:rPr>
        <w:t>Scenario 5</w:t>
      </w:r>
      <w:r>
        <w:rPr>
          <w:rFonts w:hint="default" w:ascii="Times New Roman" w:hAnsi="Times New Roman" w:eastAsia="宋体" w:cs="Times New Roman"/>
          <w:bCs/>
          <w:sz w:val="20"/>
          <w:szCs w:val="20"/>
          <w:u w:val="none"/>
        </w:rPr>
        <w:t xml:space="preserve">: Handover </w:t>
      </w:r>
    </w:p>
    <w:p w14:paraId="1B1C4A02">
      <w:pPr>
        <w:keepNext w:val="0"/>
        <w:keepLines w:val="0"/>
        <w:pageBreakBefore w:val="0"/>
        <w:numPr>
          <w:ilvl w:val="0"/>
          <w:numId w:val="8"/>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u w:val="none"/>
          <w:lang w:val="en-US" w:eastAsia="zh-CN"/>
        </w:rPr>
      </w:pPr>
      <w:r>
        <w:rPr>
          <w:rFonts w:hint="default" w:ascii="Times New Roman" w:hAnsi="Times New Roman" w:cs="Times New Roman"/>
          <w:bCs/>
          <w:sz w:val="20"/>
          <w:szCs w:val="20"/>
          <w:u w:val="none"/>
        </w:rPr>
        <w:t>Scenario 7</w:t>
      </w:r>
      <w:r>
        <w:rPr>
          <w:rFonts w:hint="default" w:ascii="Times New Roman" w:hAnsi="Times New Roman" w:eastAsia="宋体" w:cs="Times New Roman"/>
          <w:bCs/>
          <w:sz w:val="20"/>
          <w:szCs w:val="20"/>
          <w:u w:val="none"/>
        </w:rPr>
        <w:t xml:space="preserve">: </w:t>
      </w:r>
      <w:r>
        <w:rPr>
          <w:rFonts w:hint="default" w:ascii="Times New Roman" w:hAnsi="Times New Roman" w:cs="Times New Roman"/>
          <w:bCs/>
          <w:sz w:val="20"/>
          <w:szCs w:val="20"/>
          <w:u w:val="none"/>
        </w:rPr>
        <w:t>RRC Re-establishment/RRC Connection Release with Redirection</w:t>
      </w:r>
      <w:r>
        <w:rPr>
          <w:rFonts w:hint="default" w:ascii="Times New Roman" w:hAnsi="Times New Roman" w:eastAsia="宋体" w:cs="Times New Roman"/>
          <w:bCs/>
          <w:sz w:val="20"/>
          <w:szCs w:val="20"/>
          <w:u w:val="none"/>
        </w:rPr>
        <w:t xml:space="preserve"> </w:t>
      </w:r>
    </w:p>
    <w:p w14:paraId="0D6FA87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SSB processing delay/time for processing multiple beams received in a SMTC is different for different scenarios. The details are as below.</w:t>
      </w:r>
    </w:p>
    <w:p w14:paraId="5C916C9A">
      <w:pPr>
        <w:pStyle w:val="10"/>
        <w:numPr>
          <w:ilvl w:val="0"/>
          <w:numId w:val="9"/>
        </w:numPr>
        <w:overflowPunct/>
        <w:autoSpaceDE/>
        <w:autoSpaceDN/>
        <w:adjustRightInd/>
        <w:ind w:left="516" w:leftChars="0" w:firstLineChars="0"/>
        <w:textAlignment w:val="auto"/>
        <w:rPr>
          <w:rFonts w:hint="default" w:ascii="Times New Roman" w:hAnsi="Times New Roman" w:eastAsia="宋体" w:cs="Times New Roman"/>
          <w:bCs/>
          <w:sz w:val="20"/>
          <w:szCs w:val="20"/>
          <w:highlight w:val="none"/>
        </w:rPr>
      </w:pPr>
      <w:r>
        <w:rPr>
          <w:rFonts w:hint="default" w:ascii="Times New Roman" w:hAnsi="Times New Roman" w:eastAsia="宋体" w:cs="Times New Roman"/>
          <w:bCs/>
          <w:sz w:val="20"/>
          <w:szCs w:val="20"/>
          <w:highlight w:val="none"/>
        </w:rPr>
        <w:t>For scenario 1/2/3/4</w:t>
      </w:r>
    </w:p>
    <w:p w14:paraId="520048BB">
      <w:pPr>
        <w:pStyle w:val="10"/>
        <w:numPr>
          <w:ilvl w:val="1"/>
          <w:numId w:val="9"/>
        </w:numPr>
        <w:overflowPunct/>
        <w:autoSpaceDE/>
        <w:autoSpaceDN/>
        <w:adjustRightInd/>
        <w:ind w:left="1236" w:leftChars="0" w:firstLineChars="0"/>
        <w:textAlignment w:val="auto"/>
        <w:rPr>
          <w:rFonts w:hint="default" w:ascii="Times New Roman" w:hAnsi="Times New Roman" w:eastAsia="宋体" w:cs="Times New Roman"/>
          <w:bCs/>
          <w:sz w:val="20"/>
          <w:szCs w:val="20"/>
          <w:highlight w:val="none"/>
        </w:rPr>
      </w:pPr>
      <w:r>
        <w:rPr>
          <w:rFonts w:hint="default" w:ascii="Times New Roman" w:hAnsi="Times New Roman" w:eastAsia="宋体" w:cs="Times New Roman"/>
          <w:bCs/>
          <w:sz w:val="20"/>
          <w:szCs w:val="20"/>
          <w:highlight w:val="none"/>
        </w:rPr>
        <w:t>additional processing time can be added after the last SMTC periodicity for intra/inter-frequency L3 measurement.</w:t>
      </w:r>
    </w:p>
    <w:p w14:paraId="6FF30047">
      <w:pPr>
        <w:pStyle w:val="10"/>
        <w:numPr>
          <w:ilvl w:val="2"/>
          <w:numId w:val="9"/>
        </w:numPr>
        <w:overflowPunct/>
        <w:autoSpaceDE/>
        <w:autoSpaceDN/>
        <w:adjustRightInd/>
        <w:ind w:left="1956" w:leftChars="0" w:firstLineChars="0"/>
        <w:contextualSpacing/>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T</w:t>
      </w:r>
      <w:r>
        <w:rPr>
          <w:rFonts w:hint="default" w:ascii="Times New Roman" w:hAnsi="Times New Roman" w:cs="Times New Roman"/>
          <w:bCs/>
          <w:sz w:val="20"/>
          <w:szCs w:val="20"/>
          <w:highlight w:val="none"/>
          <w:vertAlign w:val="subscript"/>
        </w:rPr>
        <w:t xml:space="preserve">identify_intra_without_index </w:t>
      </w:r>
      <w:r>
        <w:rPr>
          <w:rFonts w:hint="default" w:ascii="Times New Roman" w:hAnsi="Times New Roman" w:cs="Times New Roman"/>
          <w:bCs/>
          <w:sz w:val="20"/>
          <w:szCs w:val="20"/>
          <w:highlight w:val="none"/>
        </w:rPr>
        <w:t>= (T</w:t>
      </w:r>
      <w:r>
        <w:rPr>
          <w:rFonts w:hint="default" w:ascii="Times New Roman" w:hAnsi="Times New Roman" w:cs="Times New Roman"/>
          <w:bCs/>
          <w:sz w:val="20"/>
          <w:szCs w:val="20"/>
          <w:highlight w:val="none"/>
          <w:vertAlign w:val="subscript"/>
        </w:rPr>
        <w:t xml:space="preserve">PSS/SSS_sync_intra </w:t>
      </w:r>
      <w:r>
        <w:rPr>
          <w:rFonts w:hint="default" w:ascii="Times New Roman" w:hAnsi="Times New Roman" w:cs="Times New Roman"/>
          <w:bCs/>
          <w:sz w:val="20"/>
          <w:szCs w:val="20"/>
          <w:highlight w:val="none"/>
        </w:rPr>
        <w:t>+ T</w:t>
      </w:r>
      <w:r>
        <w:rPr>
          <w:rFonts w:hint="default" w:ascii="Times New Roman" w:hAnsi="Times New Roman" w:cs="Times New Roman"/>
          <w:bCs/>
          <w:sz w:val="20"/>
          <w:szCs w:val="20"/>
          <w:highlight w:val="none"/>
          <w:vertAlign w:val="subscript"/>
        </w:rPr>
        <w:t xml:space="preserve">SSB_measurement_period_intra </w:t>
      </w:r>
      <w:r>
        <w:rPr>
          <w:rFonts w:hint="default" w:ascii="Times New Roman" w:hAnsi="Times New Roman" w:cs="Times New Roman"/>
          <w:bCs/>
          <w:sz w:val="20"/>
          <w:szCs w:val="20"/>
          <w:highlight w:val="none"/>
        </w:rPr>
        <w:t>+T</w:t>
      </w:r>
      <w:r>
        <w:rPr>
          <w:rFonts w:hint="default" w:ascii="Times New Roman" w:hAnsi="Times New Roman" w:cs="Times New Roman"/>
          <w:bCs/>
          <w:sz w:val="20"/>
          <w:szCs w:val="20"/>
          <w:highlight w:val="none"/>
          <w:vertAlign w:val="subscript"/>
        </w:rPr>
        <w:t xml:space="preserve">SSB_processing) </w:t>
      </w:r>
      <w:r>
        <w:rPr>
          <w:rFonts w:hint="default" w:ascii="Times New Roman" w:hAnsi="Times New Roman" w:cs="Times New Roman"/>
          <w:bCs/>
          <w:sz w:val="20"/>
          <w:szCs w:val="20"/>
          <w:highlight w:val="none"/>
        </w:rPr>
        <w:t>ms</w:t>
      </w:r>
    </w:p>
    <w:p w14:paraId="585E9588">
      <w:pPr>
        <w:pStyle w:val="10"/>
        <w:numPr>
          <w:ilvl w:val="2"/>
          <w:numId w:val="9"/>
        </w:numPr>
        <w:overflowPunct/>
        <w:autoSpaceDE/>
        <w:autoSpaceDN/>
        <w:adjustRightInd/>
        <w:ind w:left="1956" w:leftChars="0" w:firstLineChars="0"/>
        <w:contextualSpacing/>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T</w:t>
      </w:r>
      <w:r>
        <w:rPr>
          <w:rFonts w:hint="default" w:ascii="Times New Roman" w:hAnsi="Times New Roman" w:cs="Times New Roman"/>
          <w:bCs/>
          <w:sz w:val="20"/>
          <w:szCs w:val="20"/>
          <w:highlight w:val="none"/>
          <w:vertAlign w:val="subscript"/>
        </w:rPr>
        <w:t xml:space="preserve">identify_inter_without_index </w:t>
      </w:r>
      <w:r>
        <w:rPr>
          <w:rFonts w:hint="default" w:ascii="Times New Roman" w:hAnsi="Times New Roman" w:cs="Times New Roman"/>
          <w:bCs/>
          <w:sz w:val="20"/>
          <w:szCs w:val="20"/>
          <w:highlight w:val="none"/>
        </w:rPr>
        <w:t>= (T</w:t>
      </w:r>
      <w:r>
        <w:rPr>
          <w:rFonts w:hint="default" w:ascii="Times New Roman" w:hAnsi="Times New Roman" w:cs="Times New Roman"/>
          <w:bCs/>
          <w:sz w:val="20"/>
          <w:szCs w:val="20"/>
          <w:highlight w:val="none"/>
          <w:vertAlign w:val="subscript"/>
        </w:rPr>
        <w:t xml:space="preserve">PSS/SSS_sync_inter </w:t>
      </w:r>
      <w:r>
        <w:rPr>
          <w:rFonts w:hint="default" w:ascii="Times New Roman" w:hAnsi="Times New Roman" w:cs="Times New Roman"/>
          <w:bCs/>
          <w:sz w:val="20"/>
          <w:szCs w:val="20"/>
          <w:highlight w:val="none"/>
        </w:rPr>
        <w:t xml:space="preserve">+ T </w:t>
      </w:r>
      <w:r>
        <w:rPr>
          <w:rFonts w:hint="default" w:ascii="Times New Roman" w:hAnsi="Times New Roman" w:cs="Times New Roman"/>
          <w:bCs/>
          <w:sz w:val="20"/>
          <w:szCs w:val="20"/>
          <w:highlight w:val="none"/>
          <w:vertAlign w:val="subscript"/>
        </w:rPr>
        <w:t>SSB_measurement_pe riod_inter</w:t>
      </w:r>
      <w:r>
        <w:rPr>
          <w:rFonts w:hint="default" w:ascii="Times New Roman" w:hAnsi="Times New Roman" w:cs="Times New Roman"/>
          <w:bCs/>
          <w:sz w:val="20"/>
          <w:szCs w:val="20"/>
          <w:highlight w:val="none"/>
        </w:rPr>
        <w:t xml:space="preserve"> +T</w:t>
      </w:r>
      <w:r>
        <w:rPr>
          <w:rFonts w:hint="default" w:ascii="Times New Roman" w:hAnsi="Times New Roman" w:cs="Times New Roman"/>
          <w:bCs/>
          <w:sz w:val="20"/>
          <w:szCs w:val="20"/>
          <w:highlight w:val="none"/>
          <w:vertAlign w:val="subscript"/>
        </w:rPr>
        <w:t>SSB_processing</w:t>
      </w:r>
      <w:r>
        <w:rPr>
          <w:rFonts w:hint="default" w:ascii="Times New Roman" w:hAnsi="Times New Roman" w:cs="Times New Roman"/>
          <w:bCs/>
          <w:sz w:val="20"/>
          <w:szCs w:val="20"/>
          <w:highlight w:val="none"/>
        </w:rPr>
        <w:t>) ms</w:t>
      </w:r>
    </w:p>
    <w:p w14:paraId="3F9B7845">
      <w:pPr>
        <w:pStyle w:val="10"/>
        <w:numPr>
          <w:ilvl w:val="2"/>
          <w:numId w:val="9"/>
        </w:numPr>
        <w:overflowPunct/>
        <w:autoSpaceDE/>
        <w:autoSpaceDN/>
        <w:adjustRightInd/>
        <w:ind w:left="1956" w:leftChars="0" w:firstLineChars="0"/>
        <w:contextualSpacing/>
        <w:textAlignment w:val="auto"/>
        <w:rPr>
          <w:rFonts w:hint="default" w:ascii="Times New Roman" w:hAnsi="Times New Roman" w:cs="Times New Roman"/>
          <w:bCs/>
          <w:sz w:val="20"/>
          <w:szCs w:val="20"/>
          <w:highlight w:val="none"/>
        </w:rPr>
      </w:pPr>
      <w:r>
        <w:rPr>
          <w:rFonts w:hint="default" w:ascii="Times New Roman" w:hAnsi="Times New Roman" w:cs="Times New Roman"/>
          <w:bCs/>
          <w:sz w:val="20"/>
          <w:szCs w:val="20"/>
          <w:highlight w:val="none"/>
        </w:rPr>
        <w:t>where T</w:t>
      </w:r>
      <w:r>
        <w:rPr>
          <w:rFonts w:hint="default" w:ascii="Times New Roman" w:hAnsi="Times New Roman" w:cs="Times New Roman"/>
          <w:bCs/>
          <w:sz w:val="20"/>
          <w:szCs w:val="20"/>
          <w:highlight w:val="none"/>
          <w:vertAlign w:val="subscript"/>
        </w:rPr>
        <w:t xml:space="preserve">SSB_processing </w:t>
      </w:r>
      <w:r>
        <w:rPr>
          <w:rFonts w:hint="default" w:ascii="Times New Roman" w:hAnsi="Times New Roman" w:cs="Times New Roman"/>
          <w:bCs/>
          <w:sz w:val="20"/>
          <w:szCs w:val="20"/>
          <w:highlight w:val="none"/>
        </w:rPr>
        <w:t>= 2 ms</w:t>
      </w:r>
    </w:p>
    <w:p w14:paraId="22CA3073">
      <w:pPr>
        <w:pStyle w:val="10"/>
        <w:numPr>
          <w:ilvl w:val="0"/>
          <w:numId w:val="9"/>
        </w:numPr>
        <w:overflowPunct/>
        <w:autoSpaceDE/>
        <w:autoSpaceDN/>
        <w:adjustRightInd/>
        <w:ind w:left="516" w:leftChars="0" w:firstLineChars="0"/>
        <w:textAlignment w:val="auto"/>
        <w:rPr>
          <w:rFonts w:hint="default" w:ascii="Times New Roman" w:hAnsi="Times New Roman" w:eastAsia="宋体" w:cs="Times New Roman"/>
          <w:bCs/>
          <w:sz w:val="20"/>
          <w:szCs w:val="20"/>
          <w:highlight w:val="none"/>
        </w:rPr>
      </w:pPr>
      <w:r>
        <w:rPr>
          <w:rFonts w:hint="default" w:ascii="Times New Roman" w:hAnsi="Times New Roman" w:eastAsia="宋体" w:cs="Times New Roman"/>
          <w:bCs/>
          <w:sz w:val="20"/>
          <w:szCs w:val="20"/>
          <w:highlight w:val="none"/>
        </w:rPr>
        <w:t>For scenario 7</w:t>
      </w:r>
    </w:p>
    <w:p w14:paraId="41B16CAA">
      <w:pPr>
        <w:pStyle w:val="10"/>
        <w:numPr>
          <w:ilvl w:val="1"/>
          <w:numId w:val="9"/>
        </w:numPr>
        <w:overflowPunct/>
        <w:autoSpaceDE/>
        <w:autoSpaceDN/>
        <w:adjustRightInd/>
        <w:ind w:left="1236" w:leftChars="0" w:firstLineChars="0"/>
        <w:textAlignment w:val="auto"/>
        <w:rPr>
          <w:rFonts w:hint="default" w:ascii="Times New Roman" w:hAnsi="Times New Roman" w:eastAsia="宋体" w:cs="Times New Roman"/>
          <w:bCs/>
          <w:sz w:val="20"/>
          <w:szCs w:val="20"/>
          <w:highlight w:val="none"/>
        </w:rPr>
      </w:pPr>
      <w:r>
        <w:rPr>
          <w:rFonts w:hint="default" w:ascii="Times New Roman" w:hAnsi="Times New Roman" w:eastAsia="宋体" w:cs="Times New Roman"/>
          <w:bCs/>
          <w:sz w:val="20"/>
          <w:szCs w:val="20"/>
          <w:highlight w:val="none"/>
        </w:rPr>
        <w:t>to consider an additional processing delay (2ms) after the last SMTC periodicity</w:t>
      </w:r>
    </w:p>
    <w:p w14:paraId="4ED1C5DC">
      <w:pPr>
        <w:pStyle w:val="10"/>
        <w:numPr>
          <w:ilvl w:val="0"/>
          <w:numId w:val="9"/>
        </w:numPr>
        <w:spacing w:after="120"/>
        <w:ind w:left="516" w:leftChars="0"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bCs/>
          <w:sz w:val="20"/>
          <w:szCs w:val="20"/>
          <w:highlight w:val="none"/>
        </w:rPr>
        <w:t>For scenario</w:t>
      </w:r>
      <w:r>
        <w:rPr>
          <w:rFonts w:hint="default" w:ascii="Times New Roman" w:hAnsi="Times New Roman" w:cs="Times New Roman"/>
          <w:bCs/>
          <w:sz w:val="20"/>
          <w:szCs w:val="20"/>
          <w:highlight w:val="none"/>
          <w:lang w:val="en-US" w:eastAsia="zh-CN"/>
        </w:rPr>
        <w:t xml:space="preserve"> 5</w:t>
      </w:r>
    </w:p>
    <w:p w14:paraId="0399606B">
      <w:pPr>
        <w:pStyle w:val="10"/>
        <w:numPr>
          <w:ilvl w:val="1"/>
          <w:numId w:val="9"/>
        </w:numPr>
        <w:overflowPunct/>
        <w:autoSpaceDE/>
        <w:autoSpaceDN/>
        <w:adjustRightInd/>
        <w:ind w:left="1236" w:leftChars="0" w:firstLineChars="0"/>
        <w:textAlignment w:val="auto"/>
        <w:rPr>
          <w:rFonts w:hint="default" w:ascii="Times New Roman" w:hAnsi="Times New Roman" w:eastAsia="宋体" w:cs="Times New Roman"/>
          <w:bCs/>
          <w:sz w:val="20"/>
          <w:szCs w:val="20"/>
          <w:highlight w:val="none"/>
        </w:rPr>
      </w:pPr>
      <w:r>
        <w:rPr>
          <w:rFonts w:hint="default" w:ascii="Times New Roman" w:hAnsi="Times New Roman" w:eastAsia="宋体" w:cs="Times New Roman"/>
          <w:bCs/>
          <w:sz w:val="20"/>
          <w:szCs w:val="20"/>
          <w:highlight w:val="none"/>
        </w:rPr>
        <w:t xml:space="preserve">No need to add additional processing time in the delay requirement </w:t>
      </w:r>
    </w:p>
    <w:p w14:paraId="69AEE544">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It can be seen that the applied trigger condition and SSB processing delay/time are different for different scenarios. To guarantee the test coverage, it is proposed to define test cases for scenario 1/2/3/4/5/7.</w:t>
      </w:r>
    </w:p>
    <w:p w14:paraId="7C76A54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Rx beam sweeping factor optimization, it is proposed to define test cases for scenario 1/2/3/4/5/7.</w:t>
      </w:r>
    </w:p>
    <w:p w14:paraId="605A27CC">
      <w:pPr>
        <w:pStyle w:val="10"/>
        <w:numPr>
          <w:ilvl w:val="0"/>
          <w:numId w:val="8"/>
        </w:numPr>
        <w:overflowPunct/>
        <w:autoSpaceDE/>
        <w:autoSpaceDN/>
        <w:adjustRightInd/>
        <w:ind w:left="420" w:leftChars="0" w:hanging="420" w:firstLineChars="0"/>
        <w:textAlignment w:val="auto"/>
        <w:rPr>
          <w:rFonts w:hint="default" w:ascii="Times New Roman" w:hAnsi="Times New Roman" w:eastAsia="宋体" w:cs="Times New Roman"/>
          <w:b/>
          <w:bCs/>
          <w:i/>
          <w:iCs/>
          <w:sz w:val="20"/>
          <w:szCs w:val="20"/>
          <w:u w:val="none"/>
        </w:rPr>
      </w:pPr>
      <w:r>
        <w:rPr>
          <w:rFonts w:hint="default" w:ascii="Times New Roman" w:hAnsi="Times New Roman" w:cs="Times New Roman"/>
          <w:b/>
          <w:bCs/>
          <w:i/>
          <w:iCs/>
          <w:sz w:val="20"/>
          <w:szCs w:val="20"/>
          <w:u w:val="none"/>
        </w:rPr>
        <w:t>Scenario 1</w:t>
      </w:r>
      <w:r>
        <w:rPr>
          <w:rFonts w:hint="default" w:ascii="Times New Roman" w:hAnsi="Times New Roman" w:eastAsia="宋体" w:cs="Times New Roman"/>
          <w:b/>
          <w:bCs/>
          <w:i/>
          <w:iCs/>
          <w:sz w:val="20"/>
          <w:szCs w:val="20"/>
          <w:u w:val="none"/>
        </w:rPr>
        <w:t xml:space="preserve">: SSB based Intra-frequency measurement without MG, including </w:t>
      </w:r>
      <w:r>
        <w:rPr>
          <w:rFonts w:hint="default" w:ascii="Times New Roman" w:hAnsi="Times New Roman" w:cs="Times New Roman"/>
          <w:b/>
          <w:bCs/>
          <w:i/>
          <w:iCs/>
          <w:sz w:val="20"/>
          <w:szCs w:val="20"/>
          <w:u w:val="none"/>
        </w:rPr>
        <w:t>T</w:t>
      </w:r>
      <w:r>
        <w:rPr>
          <w:rFonts w:hint="default" w:ascii="Times New Roman" w:hAnsi="Times New Roman" w:cs="Times New Roman"/>
          <w:b/>
          <w:bCs/>
          <w:i/>
          <w:iCs/>
          <w:sz w:val="20"/>
          <w:szCs w:val="20"/>
          <w:u w:val="none"/>
          <w:vertAlign w:val="subscript"/>
        </w:rPr>
        <w:t>PSS/SSS_sync_intra</w:t>
      </w:r>
      <w:r>
        <w:rPr>
          <w:rFonts w:hint="default" w:ascii="Times New Roman" w:hAnsi="Times New Roman" w:cs="Times New Roman"/>
          <w:b/>
          <w:bCs/>
          <w:i/>
          <w:iCs/>
          <w:sz w:val="20"/>
          <w:szCs w:val="20"/>
          <w:u w:val="none"/>
        </w:rPr>
        <w:t xml:space="preserve"> and T</w:t>
      </w:r>
      <w:r>
        <w:rPr>
          <w:rFonts w:hint="default" w:ascii="Times New Roman" w:hAnsi="Times New Roman" w:cs="Times New Roman"/>
          <w:b/>
          <w:bCs/>
          <w:i/>
          <w:iCs/>
          <w:sz w:val="20"/>
          <w:szCs w:val="20"/>
          <w:u w:val="none"/>
          <w:vertAlign w:val="subscript"/>
        </w:rPr>
        <w:t>SSB_measurement_period_intra</w:t>
      </w:r>
    </w:p>
    <w:p w14:paraId="38A73159">
      <w:pPr>
        <w:pStyle w:val="10"/>
        <w:numPr>
          <w:ilvl w:val="0"/>
          <w:numId w:val="8"/>
        </w:numPr>
        <w:overflowPunct/>
        <w:autoSpaceDE/>
        <w:autoSpaceDN/>
        <w:adjustRightInd/>
        <w:ind w:left="420" w:leftChars="0" w:hanging="420" w:firstLineChars="0"/>
        <w:textAlignment w:val="auto"/>
        <w:rPr>
          <w:rFonts w:hint="default" w:ascii="Times New Roman" w:hAnsi="Times New Roman" w:eastAsia="宋体" w:cs="Times New Roman"/>
          <w:b/>
          <w:bCs/>
          <w:i/>
          <w:iCs/>
          <w:sz w:val="20"/>
          <w:szCs w:val="20"/>
          <w:u w:val="none"/>
        </w:rPr>
      </w:pPr>
      <w:r>
        <w:rPr>
          <w:rFonts w:hint="default" w:ascii="Times New Roman" w:hAnsi="Times New Roman" w:cs="Times New Roman"/>
          <w:b/>
          <w:bCs/>
          <w:i/>
          <w:iCs/>
          <w:sz w:val="20"/>
          <w:szCs w:val="20"/>
          <w:u w:val="none"/>
        </w:rPr>
        <w:t>Scenario 2</w:t>
      </w:r>
      <w:r>
        <w:rPr>
          <w:rFonts w:hint="default" w:ascii="Times New Roman" w:hAnsi="Times New Roman" w:eastAsia="宋体" w:cs="Times New Roman"/>
          <w:b/>
          <w:bCs/>
          <w:i/>
          <w:iCs/>
          <w:sz w:val="20"/>
          <w:szCs w:val="20"/>
          <w:u w:val="none"/>
        </w:rPr>
        <w:t xml:space="preserve">: SSB based Intra-frequency measurement with MG, including </w:t>
      </w:r>
      <w:r>
        <w:rPr>
          <w:rFonts w:hint="default" w:ascii="Times New Roman" w:hAnsi="Times New Roman" w:cs="Times New Roman"/>
          <w:b/>
          <w:bCs/>
          <w:i/>
          <w:iCs/>
          <w:sz w:val="20"/>
          <w:szCs w:val="20"/>
          <w:u w:val="none"/>
        </w:rPr>
        <w:t>T</w:t>
      </w:r>
      <w:r>
        <w:rPr>
          <w:rFonts w:hint="default" w:ascii="Times New Roman" w:hAnsi="Times New Roman" w:cs="Times New Roman"/>
          <w:b/>
          <w:bCs/>
          <w:i/>
          <w:iCs/>
          <w:sz w:val="20"/>
          <w:szCs w:val="20"/>
          <w:u w:val="none"/>
          <w:vertAlign w:val="subscript"/>
        </w:rPr>
        <w:t>PSS/SSS_sync_intra</w:t>
      </w:r>
      <w:r>
        <w:rPr>
          <w:rFonts w:hint="default" w:ascii="Times New Roman" w:hAnsi="Times New Roman" w:cs="Times New Roman"/>
          <w:b/>
          <w:bCs/>
          <w:i/>
          <w:iCs/>
          <w:sz w:val="20"/>
          <w:szCs w:val="20"/>
          <w:u w:val="none"/>
        </w:rPr>
        <w:t xml:space="preserve"> and T</w:t>
      </w:r>
      <w:r>
        <w:rPr>
          <w:rFonts w:hint="default" w:ascii="Times New Roman" w:hAnsi="Times New Roman" w:cs="Times New Roman"/>
          <w:b/>
          <w:bCs/>
          <w:i/>
          <w:iCs/>
          <w:sz w:val="20"/>
          <w:szCs w:val="20"/>
          <w:u w:val="none"/>
          <w:vertAlign w:val="subscript"/>
        </w:rPr>
        <w:t>SSB_measurement_period_intra</w:t>
      </w:r>
    </w:p>
    <w:p w14:paraId="6AC70C0B">
      <w:pPr>
        <w:pStyle w:val="10"/>
        <w:numPr>
          <w:ilvl w:val="0"/>
          <w:numId w:val="8"/>
        </w:numPr>
        <w:overflowPunct/>
        <w:autoSpaceDE/>
        <w:autoSpaceDN/>
        <w:adjustRightInd/>
        <w:ind w:left="420" w:leftChars="0" w:hanging="420" w:firstLineChars="0"/>
        <w:textAlignment w:val="auto"/>
        <w:rPr>
          <w:rFonts w:hint="default" w:ascii="Times New Roman" w:hAnsi="Times New Roman" w:eastAsia="宋体" w:cs="Times New Roman"/>
          <w:b/>
          <w:bCs/>
          <w:i/>
          <w:iCs/>
          <w:sz w:val="20"/>
          <w:szCs w:val="20"/>
          <w:u w:val="none"/>
        </w:rPr>
      </w:pPr>
      <w:r>
        <w:rPr>
          <w:rFonts w:hint="default" w:ascii="Times New Roman" w:hAnsi="Times New Roman" w:cs="Times New Roman"/>
          <w:b/>
          <w:bCs/>
          <w:i/>
          <w:iCs/>
          <w:sz w:val="20"/>
          <w:szCs w:val="20"/>
          <w:u w:val="none"/>
        </w:rPr>
        <w:t>Scenario 3</w:t>
      </w:r>
      <w:r>
        <w:rPr>
          <w:rFonts w:hint="default" w:ascii="Times New Roman" w:hAnsi="Times New Roman" w:eastAsia="宋体" w:cs="Times New Roman"/>
          <w:b/>
          <w:bCs/>
          <w:i/>
          <w:iCs/>
          <w:sz w:val="20"/>
          <w:szCs w:val="20"/>
          <w:u w:val="none"/>
        </w:rPr>
        <w:t xml:space="preserve">: SSB based Inter-frequency measurement without MG, including </w:t>
      </w:r>
      <w:r>
        <w:rPr>
          <w:rFonts w:hint="default" w:ascii="Times New Roman" w:hAnsi="Times New Roman" w:cs="Times New Roman"/>
          <w:b/>
          <w:bCs/>
          <w:i/>
          <w:iCs/>
          <w:sz w:val="20"/>
          <w:szCs w:val="20"/>
          <w:u w:val="none"/>
        </w:rPr>
        <w:t>T</w:t>
      </w:r>
      <w:r>
        <w:rPr>
          <w:rFonts w:hint="default" w:ascii="Times New Roman" w:hAnsi="Times New Roman" w:cs="Times New Roman"/>
          <w:b/>
          <w:bCs/>
          <w:i/>
          <w:iCs/>
          <w:sz w:val="20"/>
          <w:szCs w:val="20"/>
          <w:u w:val="none"/>
          <w:vertAlign w:val="subscript"/>
        </w:rPr>
        <w:t>PSS/SSS_sync_inter</w:t>
      </w:r>
      <w:r>
        <w:rPr>
          <w:rFonts w:hint="default" w:ascii="Times New Roman" w:hAnsi="Times New Roman" w:cs="Times New Roman"/>
          <w:b/>
          <w:bCs/>
          <w:i/>
          <w:iCs/>
          <w:sz w:val="20"/>
          <w:szCs w:val="20"/>
          <w:u w:val="none"/>
        </w:rPr>
        <w:t>, T</w:t>
      </w:r>
      <w:r>
        <w:rPr>
          <w:rFonts w:hint="default" w:ascii="Times New Roman" w:hAnsi="Times New Roman" w:cs="Times New Roman"/>
          <w:b/>
          <w:bCs/>
          <w:i/>
          <w:iCs/>
          <w:sz w:val="20"/>
          <w:szCs w:val="20"/>
          <w:u w:val="none"/>
          <w:vertAlign w:val="subscript"/>
        </w:rPr>
        <w:t>SSB_time_index_inter</w:t>
      </w:r>
      <w:r>
        <w:rPr>
          <w:rFonts w:hint="default" w:ascii="Times New Roman" w:hAnsi="Times New Roman" w:cs="Times New Roman"/>
          <w:b/>
          <w:bCs/>
          <w:i/>
          <w:iCs/>
          <w:sz w:val="20"/>
          <w:szCs w:val="20"/>
          <w:u w:val="none"/>
        </w:rPr>
        <w:t xml:space="preserve"> and T</w:t>
      </w:r>
      <w:r>
        <w:rPr>
          <w:rFonts w:hint="default" w:ascii="Times New Roman" w:hAnsi="Times New Roman" w:cs="Times New Roman"/>
          <w:b/>
          <w:bCs/>
          <w:i/>
          <w:iCs/>
          <w:sz w:val="20"/>
          <w:szCs w:val="20"/>
          <w:u w:val="none"/>
          <w:vertAlign w:val="subscript"/>
        </w:rPr>
        <w:t>SSB_measurement_period_inter</w:t>
      </w:r>
    </w:p>
    <w:p w14:paraId="5455F18B">
      <w:pPr>
        <w:pStyle w:val="10"/>
        <w:numPr>
          <w:ilvl w:val="0"/>
          <w:numId w:val="8"/>
        </w:numPr>
        <w:overflowPunct/>
        <w:autoSpaceDE/>
        <w:autoSpaceDN/>
        <w:adjustRightInd/>
        <w:ind w:left="420" w:leftChars="0" w:hanging="420" w:firstLineChars="0"/>
        <w:textAlignment w:val="auto"/>
        <w:rPr>
          <w:rFonts w:hint="default" w:ascii="Times New Roman" w:hAnsi="Times New Roman" w:eastAsia="宋体" w:cs="Times New Roman"/>
          <w:b/>
          <w:bCs/>
          <w:i/>
          <w:iCs/>
          <w:sz w:val="20"/>
          <w:szCs w:val="20"/>
          <w:u w:val="none"/>
        </w:rPr>
      </w:pPr>
      <w:r>
        <w:rPr>
          <w:rFonts w:hint="default" w:ascii="Times New Roman" w:hAnsi="Times New Roman" w:cs="Times New Roman"/>
          <w:b/>
          <w:bCs/>
          <w:i/>
          <w:iCs/>
          <w:sz w:val="20"/>
          <w:szCs w:val="20"/>
          <w:u w:val="none"/>
        </w:rPr>
        <w:t>Scenario 4</w:t>
      </w:r>
      <w:r>
        <w:rPr>
          <w:rFonts w:hint="default" w:ascii="Times New Roman" w:hAnsi="Times New Roman" w:eastAsia="宋体" w:cs="Times New Roman"/>
          <w:b/>
          <w:bCs/>
          <w:i/>
          <w:iCs/>
          <w:sz w:val="20"/>
          <w:szCs w:val="20"/>
          <w:u w:val="none"/>
        </w:rPr>
        <w:t xml:space="preserve">: SSB based Inter-frequency measurement with MG, including </w:t>
      </w:r>
      <w:r>
        <w:rPr>
          <w:rFonts w:hint="default" w:ascii="Times New Roman" w:hAnsi="Times New Roman" w:cs="Times New Roman"/>
          <w:b/>
          <w:bCs/>
          <w:i/>
          <w:iCs/>
          <w:sz w:val="20"/>
          <w:szCs w:val="20"/>
          <w:u w:val="none"/>
        </w:rPr>
        <w:t>T</w:t>
      </w:r>
      <w:r>
        <w:rPr>
          <w:rFonts w:hint="default" w:ascii="Times New Roman" w:hAnsi="Times New Roman" w:cs="Times New Roman"/>
          <w:b/>
          <w:bCs/>
          <w:i/>
          <w:iCs/>
          <w:sz w:val="20"/>
          <w:szCs w:val="20"/>
          <w:u w:val="none"/>
          <w:vertAlign w:val="subscript"/>
        </w:rPr>
        <w:t>PSS/SSS_sync_inter</w:t>
      </w:r>
      <w:r>
        <w:rPr>
          <w:rFonts w:hint="default" w:ascii="Times New Roman" w:hAnsi="Times New Roman" w:cs="Times New Roman"/>
          <w:b/>
          <w:bCs/>
          <w:i/>
          <w:iCs/>
          <w:sz w:val="20"/>
          <w:szCs w:val="20"/>
          <w:u w:val="none"/>
        </w:rPr>
        <w:t>,  T</w:t>
      </w:r>
      <w:r>
        <w:rPr>
          <w:rFonts w:hint="default" w:ascii="Times New Roman" w:hAnsi="Times New Roman" w:cs="Times New Roman"/>
          <w:b/>
          <w:bCs/>
          <w:i/>
          <w:iCs/>
          <w:sz w:val="20"/>
          <w:szCs w:val="20"/>
          <w:u w:val="none"/>
          <w:vertAlign w:val="subscript"/>
        </w:rPr>
        <w:t>SSB_time_index_inter</w:t>
      </w:r>
      <w:r>
        <w:rPr>
          <w:rFonts w:hint="default" w:ascii="Times New Roman" w:hAnsi="Times New Roman" w:cs="Times New Roman"/>
          <w:b/>
          <w:bCs/>
          <w:i/>
          <w:iCs/>
          <w:sz w:val="20"/>
          <w:szCs w:val="20"/>
          <w:u w:val="none"/>
        </w:rPr>
        <w:t xml:space="preserve"> and T</w:t>
      </w:r>
      <w:r>
        <w:rPr>
          <w:rFonts w:hint="default" w:ascii="Times New Roman" w:hAnsi="Times New Roman" w:cs="Times New Roman"/>
          <w:b/>
          <w:bCs/>
          <w:i/>
          <w:iCs/>
          <w:sz w:val="20"/>
          <w:szCs w:val="20"/>
          <w:u w:val="none"/>
          <w:vertAlign w:val="subscript"/>
        </w:rPr>
        <w:t>SSB_measurement_period_inter</w:t>
      </w:r>
    </w:p>
    <w:p w14:paraId="5C4254A7">
      <w:pPr>
        <w:keepNext w:val="0"/>
        <w:keepLines w:val="0"/>
        <w:pageBreakBefore w:val="0"/>
        <w:numPr>
          <w:ilvl w:val="0"/>
          <w:numId w:val="8"/>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u w:val="none"/>
          <w:lang w:val="en-US" w:eastAsia="zh-CN"/>
        </w:rPr>
      </w:pPr>
      <w:r>
        <w:rPr>
          <w:rFonts w:hint="default" w:ascii="Times New Roman" w:hAnsi="Times New Roman" w:cs="Times New Roman"/>
          <w:b/>
          <w:bCs/>
          <w:i/>
          <w:iCs/>
          <w:sz w:val="20"/>
          <w:szCs w:val="20"/>
          <w:u w:val="none"/>
        </w:rPr>
        <w:t>Scenario 5</w:t>
      </w:r>
      <w:r>
        <w:rPr>
          <w:rFonts w:hint="default" w:ascii="Times New Roman" w:hAnsi="Times New Roman" w:eastAsia="宋体" w:cs="Times New Roman"/>
          <w:b/>
          <w:bCs/>
          <w:i/>
          <w:iCs/>
          <w:sz w:val="20"/>
          <w:szCs w:val="20"/>
          <w:u w:val="none"/>
        </w:rPr>
        <w:t xml:space="preserve">: Handover </w:t>
      </w:r>
    </w:p>
    <w:p w14:paraId="36C6E5E7">
      <w:pPr>
        <w:keepNext w:val="0"/>
        <w:keepLines w:val="0"/>
        <w:pageBreakBefore w:val="0"/>
        <w:numPr>
          <w:ilvl w:val="0"/>
          <w:numId w:val="8"/>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u w:val="none"/>
          <w:lang w:val="en-US" w:eastAsia="zh-CN"/>
        </w:rPr>
      </w:pPr>
      <w:r>
        <w:rPr>
          <w:rFonts w:hint="default" w:ascii="Times New Roman" w:hAnsi="Times New Roman" w:cs="Times New Roman"/>
          <w:b/>
          <w:bCs/>
          <w:i/>
          <w:iCs/>
          <w:sz w:val="20"/>
          <w:szCs w:val="20"/>
          <w:u w:val="none"/>
        </w:rPr>
        <w:t>Scenario 7</w:t>
      </w:r>
      <w:r>
        <w:rPr>
          <w:rFonts w:hint="default" w:ascii="Times New Roman" w:hAnsi="Times New Roman" w:eastAsia="宋体" w:cs="Times New Roman"/>
          <w:b/>
          <w:bCs/>
          <w:i/>
          <w:iCs/>
          <w:sz w:val="20"/>
          <w:szCs w:val="20"/>
          <w:u w:val="none"/>
        </w:rPr>
        <w:t xml:space="preserve">: </w:t>
      </w:r>
      <w:r>
        <w:rPr>
          <w:rFonts w:hint="default" w:ascii="Times New Roman" w:hAnsi="Times New Roman" w:cs="Times New Roman"/>
          <w:b/>
          <w:bCs/>
          <w:i/>
          <w:iCs/>
          <w:sz w:val="20"/>
          <w:szCs w:val="20"/>
          <w:u w:val="none"/>
        </w:rPr>
        <w:t>RRC Re-establishment/RRC Connection Release with Redirection</w:t>
      </w:r>
      <w:r>
        <w:rPr>
          <w:rFonts w:hint="default" w:ascii="Times New Roman" w:hAnsi="Times New Roman" w:eastAsia="宋体" w:cs="Times New Roman"/>
          <w:b/>
          <w:bCs/>
          <w:i/>
          <w:iCs/>
          <w:sz w:val="20"/>
          <w:szCs w:val="20"/>
          <w:u w:val="none"/>
        </w:rPr>
        <w:t xml:space="preserve"> </w:t>
      </w:r>
    </w:p>
    <w:p w14:paraId="599EC1C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It is agreed that L3 measurement delay reduction based on BSF reduction cover both non-DRX and DRX (BSF reduction is independent of DRX status), which means that test cases need to cover both non-DRX and DRX.</w:t>
      </w:r>
    </w:p>
    <w:p w14:paraId="50B4A0D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for Rx beam sweeping factor optimization, it is proposed to define test cases for both non-DRX and DRX.  </w:t>
      </w:r>
    </w:p>
    <w:p w14:paraId="662A5E10">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2.2 Enhancement on CSSF outside gap in CA/DC</w:t>
      </w:r>
    </w:p>
    <w:p w14:paraId="167A6B0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the core part discussion on optimizing CSSF outside gap in CA/DC, there are three candidate solutions. Solution 1 is to measure one serving CC per band. Solution 2 is to change the searcher occupancy ratio of measurement among the measured CCs. Solution 3 is to support 3 searchers for CSSF. For now, it is agreed not to support solution 2 in Rel-19. And solution 1 and solution 2 are supported.</w:t>
      </w:r>
    </w:p>
    <w:p w14:paraId="7A1CCE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solution 1: measure one serving CC per band, the whole solution is as below. It can be seen that new network indication is introduced. One network indication is to enable/disable this CSSF enhancement. Another network indication is to indicate which of the SCC to be measured in a band, UE will perform both serving and neighbour cell measurements on the indicated SCC in a band. </w:t>
      </w:r>
      <w:r>
        <w:rPr>
          <w:rFonts w:hint="eastAsia" w:ascii="Times New Roman" w:hAnsi="Times New Roman" w:cs="Times New Roman"/>
          <w:iCs/>
          <w:sz w:val="20"/>
          <w:szCs w:val="20"/>
          <w:lang w:val="en-US" w:eastAsia="zh-CN"/>
        </w:rPr>
        <w:t>It is necessary to define test cases to verify whether UE follow network indication to perform corresponding measurement.</w:t>
      </w:r>
      <w:r>
        <w:rPr>
          <w:rFonts w:hint="eastAsia" w:ascii="Times New Roman" w:hAnsi="Times New Roman" w:cs="Times New Roman"/>
          <w:sz w:val="20"/>
          <w:szCs w:val="20"/>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F0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5962EE">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1-3-1: Tentative solution 1: measure one serving CC per band</w:t>
            </w:r>
          </w:p>
          <w:p w14:paraId="5F2CB78E">
            <w:pPr>
              <w:rPr>
                <w:rFonts w:hint="default" w:ascii="Times New Roman" w:hAnsi="Times New Roman" w:cs="Times New Roman"/>
                <w:b/>
                <w:color w:val="0070C0"/>
                <w:sz w:val="20"/>
                <w:szCs w:val="20"/>
                <w:u w:val="single"/>
                <w:lang w:eastAsia="ko-KR"/>
              </w:rPr>
            </w:pPr>
          </w:p>
          <w:p w14:paraId="77CB02AC">
            <w:pPr>
              <w:overflowPunct w:val="0"/>
              <w:autoSpaceDE w:val="0"/>
              <w:autoSpaceDN w:val="0"/>
              <w:adjustRightInd w:val="0"/>
              <w:snapToGrid w:val="0"/>
              <w:spacing w:after="120"/>
              <w:rPr>
                <w:rFonts w:hint="default" w:ascii="Times New Roman" w:hAnsi="Times New Roman" w:eastAsia="等线" w:cs="Times New Roman"/>
                <w:iCs/>
                <w:sz w:val="20"/>
                <w:szCs w:val="20"/>
                <w:highlight w:val="green"/>
                <w:lang w:val="en-GB"/>
              </w:rPr>
            </w:pPr>
            <w:r>
              <w:rPr>
                <w:rFonts w:hint="default" w:ascii="Times New Roman" w:hAnsi="Times New Roman" w:eastAsia="等线" w:cs="Times New Roman"/>
                <w:iCs/>
                <w:sz w:val="20"/>
                <w:szCs w:val="20"/>
                <w:highlight w:val="green"/>
                <w:lang w:val="en-GB"/>
              </w:rPr>
              <w:t>Agreement:</w:t>
            </w:r>
          </w:p>
          <w:p w14:paraId="2D3123EF">
            <w:pPr>
              <w:numPr>
                <w:ilvl w:val="0"/>
                <w:numId w:val="9"/>
              </w:numPr>
              <w:autoSpaceDN w:val="0"/>
              <w:snapToGrid w:val="0"/>
              <w:spacing w:after="120"/>
              <w:ind w:left="51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4962E3BA">
            <w:pPr>
              <w:numPr>
                <w:ilvl w:val="1"/>
                <w:numId w:val="9"/>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Network indication of enable/disable this CSSF enhancement is per-UE.</w:t>
            </w:r>
          </w:p>
          <w:p w14:paraId="734B8C2B">
            <w:pPr>
              <w:numPr>
                <w:ilvl w:val="1"/>
                <w:numId w:val="9"/>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Follow the following principle for serving and neighboring cell measurement</w:t>
            </w:r>
          </w:p>
          <w:p w14:paraId="418C4B3E">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PCC if PCC in band</w:t>
            </w:r>
          </w:p>
          <w:p w14:paraId="024C0300">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PSCC if PSCC in band</w:t>
            </w:r>
          </w:p>
          <w:p w14:paraId="3369C2D4">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SCC on which UE is configured to report SSB based measurements, if</w:t>
            </w:r>
          </w:p>
          <w:p w14:paraId="34CFD10F">
            <w:pPr>
              <w:numPr>
                <w:ilvl w:val="3"/>
                <w:numId w:val="9"/>
              </w:numPr>
              <w:suppressAutoHyphens/>
              <w:snapToGrid w:val="0"/>
              <w:spacing w:after="120"/>
              <w:ind w:left="267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there is only one SCC on which UE is configured to report SSB based measurements on same FR2 band and no PCC/PSCC in band</w:t>
            </w:r>
          </w:p>
          <w:p w14:paraId="79EBB512">
            <w:pPr>
              <w:numPr>
                <w:ilvl w:val="1"/>
                <w:numId w:val="9"/>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Follow the network indication to measure a SCC, if</w:t>
            </w:r>
          </w:p>
          <w:p w14:paraId="2DB2608A">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neither PCC nor PSCC is in band, and</w:t>
            </w:r>
          </w:p>
          <w:p w14:paraId="682014B0">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there is no SCCs on which UE is configured to report SSB based measurements in band, or</w:t>
            </w:r>
          </w:p>
          <w:p w14:paraId="6634F134">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there are multiple SCCs on which UE is configured to report SSB based measurements in band.</w:t>
            </w:r>
          </w:p>
          <w:p w14:paraId="73B180B8">
            <w:pPr>
              <w:numPr>
                <w:ilvl w:val="2"/>
                <w:numId w:val="9"/>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Network indication of a specific SCC per-band for measurement.</w:t>
            </w:r>
          </w:p>
          <w:p w14:paraId="132D4B85">
            <w:pPr>
              <w:numPr>
                <w:ilvl w:val="3"/>
                <w:numId w:val="9"/>
              </w:numPr>
              <w:suppressAutoHyphens/>
              <w:snapToGrid w:val="0"/>
              <w:spacing w:after="120"/>
              <w:ind w:left="267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network indicates which of the SCC to be measured in a band, UE will perform both serving and neighbour cell measurements on the indicated SCC in a band.</w:t>
            </w:r>
          </w:p>
          <w:p w14:paraId="3B62E208">
            <w:pPr>
              <w:numPr>
                <w:ilvl w:val="1"/>
                <w:numId w:val="9"/>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Otherwise, </w:t>
            </w:r>
            <w:r>
              <w:rPr>
                <w:rFonts w:hint="default" w:ascii="Times New Roman" w:hAnsi="Times New Roman" w:cs="Times New Roman"/>
                <w:iCs/>
                <w:sz w:val="20"/>
                <w:szCs w:val="20"/>
              </w:rPr>
              <w:t>UE will perform serving and neighbor cell measurements on one SCC per band, which SCC to measure is up to UE implementation.</w:t>
            </w:r>
          </w:p>
          <w:p w14:paraId="63F98FDB">
            <w:pPr>
              <w:numPr>
                <w:ilvl w:val="0"/>
                <w:numId w:val="9"/>
              </w:numPr>
              <w:overflowPunct w:val="0"/>
              <w:autoSpaceDE w:val="0"/>
              <w:autoSpaceDN w:val="0"/>
              <w:adjustRightInd w:val="0"/>
              <w:snapToGrid w:val="0"/>
              <w:spacing w:after="120"/>
              <w:ind w:left="516" w:leftChars="0"/>
              <w:rPr>
                <w:rFonts w:hint="default" w:ascii="Times New Roman" w:hAnsi="Times New Roman" w:cs="Times New Roman"/>
                <w:iCs/>
                <w:sz w:val="20"/>
                <w:szCs w:val="20"/>
              </w:rPr>
            </w:pPr>
            <w:r>
              <w:rPr>
                <w:rFonts w:hint="default" w:ascii="Times New Roman" w:hAnsi="Times New Roman" w:cs="Times New Roman"/>
                <w:iCs/>
                <w:sz w:val="20"/>
                <w:szCs w:val="20"/>
              </w:rPr>
              <w:t>Otherwise, UE will follow the R15 spec to perform serving and neighbor cell measurements.</w:t>
            </w:r>
          </w:p>
          <w:p w14:paraId="544E0C91">
            <w:pPr>
              <w:numPr>
                <w:ilvl w:val="0"/>
                <w:numId w:val="9"/>
              </w:numPr>
              <w:overflowPunct w:val="0"/>
              <w:autoSpaceDE w:val="0"/>
              <w:autoSpaceDN w:val="0"/>
              <w:adjustRightInd w:val="0"/>
              <w:snapToGrid w:val="0"/>
              <w:spacing w:after="120"/>
              <w:ind w:left="516" w:leftChars="0"/>
              <w:rPr>
                <w:rFonts w:hint="default" w:ascii="Times New Roman" w:hAnsi="Times New Roman" w:cs="Times New Roman"/>
                <w:sz w:val="20"/>
                <w:szCs w:val="20"/>
                <w:vertAlign w:val="baseline"/>
                <w:lang w:val="en-US" w:eastAsia="zh-CN"/>
              </w:rPr>
            </w:pPr>
            <w:r>
              <w:rPr>
                <w:rFonts w:hint="default" w:ascii="Times New Roman" w:hAnsi="Times New Roman" w:cs="Times New Roman"/>
                <w:iCs/>
                <w:sz w:val="20"/>
                <w:szCs w:val="20"/>
              </w:rPr>
              <w:t>Note: Following the WID, the above agreement applies for the measurement without gap.</w:t>
            </w:r>
          </w:p>
        </w:tc>
      </w:tr>
    </w:tbl>
    <w:p w14:paraId="426E7EC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7CA480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it is proposed to define test cases for solution 1 (measure one serving CC per band).</w:t>
      </w:r>
    </w:p>
    <w:p w14:paraId="7A8A291E">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57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9BFC677">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1-3-2: Tentative solution 2: change the searcher occupancy ratio of measurement among the measured CCs</w:t>
            </w:r>
          </w:p>
          <w:p w14:paraId="6F47DB16">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1-3-3: Tentative solution 3: 3 searchers for CSSF</w:t>
            </w:r>
          </w:p>
          <w:p w14:paraId="02933D99">
            <w:pPr>
              <w:rPr>
                <w:rFonts w:hint="default" w:ascii="Times New Roman" w:hAnsi="Times New Roman" w:cs="Times New Roman"/>
                <w:b/>
                <w:color w:val="0070C0"/>
                <w:sz w:val="20"/>
                <w:szCs w:val="20"/>
                <w:u w:val="single"/>
                <w:lang w:eastAsia="ko-KR"/>
              </w:rPr>
            </w:pPr>
          </w:p>
          <w:p w14:paraId="267DCC1A">
            <w:pPr>
              <w:autoSpaceDN w:val="0"/>
              <w:snapToGrid w:val="0"/>
              <w:spacing w:after="120"/>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w:t>
            </w:r>
          </w:p>
          <w:p w14:paraId="430BDA76">
            <w:pPr>
              <w:autoSpaceDN w:val="0"/>
              <w:snapToGrid w:val="0"/>
              <w:spacing w:after="120"/>
              <w:rPr>
                <w:rFonts w:hint="default" w:ascii="Times New Roman" w:hAnsi="Times New Roman" w:cs="Times New Roman"/>
                <w:sz w:val="20"/>
                <w:szCs w:val="20"/>
              </w:rPr>
            </w:pPr>
            <w:r>
              <w:rPr>
                <w:rFonts w:hint="default" w:ascii="Times New Roman" w:hAnsi="Times New Roman" w:cs="Times New Roman"/>
                <w:sz w:val="20"/>
                <w:szCs w:val="20"/>
              </w:rPr>
              <w:t xml:space="preserve">Support Solution 3 </w:t>
            </w:r>
            <w:r>
              <w:rPr>
                <w:rFonts w:hint="default" w:ascii="Times New Roman" w:hAnsi="Times New Roman" w:cs="Times New Roman"/>
                <w:bCs/>
                <w:sz w:val="20"/>
                <w:szCs w:val="20"/>
                <w:lang w:eastAsia="ko-KR"/>
              </w:rPr>
              <w:t>in Rel-19</w:t>
            </w:r>
            <w:r>
              <w:rPr>
                <w:rFonts w:hint="default" w:ascii="Times New Roman" w:hAnsi="Times New Roman" w:cs="Times New Roman"/>
                <w:sz w:val="20"/>
                <w:szCs w:val="20"/>
              </w:rPr>
              <w:t>:</w:t>
            </w:r>
          </w:p>
          <w:p w14:paraId="38C8B29D">
            <w:pPr>
              <w:numPr>
                <w:ilvl w:val="0"/>
                <w:numId w:val="9"/>
              </w:numPr>
              <w:autoSpaceDN w:val="0"/>
              <w:snapToGrid w:val="0"/>
              <w:spacing w:after="120"/>
              <w:ind w:left="516" w:leftChars="0"/>
              <w:rPr>
                <w:rFonts w:hint="default" w:ascii="Times New Roman" w:hAnsi="Times New Roman" w:cs="Times New Roman"/>
                <w:sz w:val="20"/>
                <w:szCs w:val="20"/>
              </w:rPr>
            </w:pPr>
            <w:r>
              <w:rPr>
                <w:rFonts w:hint="default" w:ascii="Times New Roman" w:hAnsi="Times New Roman" w:cs="Times New Roman"/>
                <w:sz w:val="20"/>
                <w:szCs w:val="20"/>
              </w:rPr>
              <w:t xml:space="preserve">FR1 scenario (CA [and NR-DC]) and FR1 + FR2 scenario (CA [and NR-DC]) only. </w:t>
            </w:r>
          </w:p>
          <w:p w14:paraId="06791166">
            <w:pPr>
              <w:numPr>
                <w:ilvl w:val="1"/>
                <w:numId w:val="9"/>
              </w:numPr>
              <w:autoSpaceDN w:val="0"/>
              <w:snapToGrid w:val="0"/>
              <w:spacing w:after="120"/>
              <w:ind w:left="1236" w:leftChars="0"/>
              <w:rPr>
                <w:rFonts w:hint="default" w:ascii="Times New Roman" w:hAnsi="Times New Roman" w:cs="Times New Roman"/>
                <w:sz w:val="20"/>
                <w:szCs w:val="20"/>
              </w:rPr>
            </w:pPr>
            <w:r>
              <w:rPr>
                <w:rFonts w:hint="default" w:ascii="Times New Roman" w:hAnsi="Times New Roman" w:cs="Times New Roman"/>
                <w:sz w:val="20"/>
                <w:szCs w:val="20"/>
              </w:rPr>
              <w:t>Define separate new UE capabilities for FR1 scenario (CA and NR-DC) and FR1 + FR2 scenario (CA and NR-DC).</w:t>
            </w:r>
          </w:p>
          <w:p w14:paraId="6D9D19CB">
            <w:pPr>
              <w:numPr>
                <w:ilvl w:val="1"/>
                <w:numId w:val="9"/>
              </w:numPr>
              <w:autoSpaceDN w:val="0"/>
              <w:snapToGrid w:val="0"/>
              <w:spacing w:after="120"/>
              <w:ind w:left="1236" w:leftChars="0"/>
              <w:rPr>
                <w:rFonts w:hint="default" w:ascii="Times New Roman" w:hAnsi="Times New Roman" w:cs="Times New Roman"/>
                <w:sz w:val="20"/>
                <w:szCs w:val="20"/>
              </w:rPr>
            </w:pPr>
            <w:r>
              <w:rPr>
                <w:rFonts w:hint="default" w:ascii="Times New Roman" w:hAnsi="Times New Roman" w:cs="Times New Roman"/>
                <w:sz w:val="20"/>
                <w:szCs w:val="20"/>
              </w:rPr>
              <w:t>For FR1+FR2 scenario, PCell is FR1</w:t>
            </w:r>
          </w:p>
          <w:p w14:paraId="3EF3733D">
            <w:pPr>
              <w:numPr>
                <w:ilvl w:val="1"/>
                <w:numId w:val="9"/>
              </w:numPr>
              <w:autoSpaceDN w:val="0"/>
              <w:snapToGrid w:val="0"/>
              <w:spacing w:after="120"/>
              <w:ind w:left="1236" w:leftChars="0"/>
              <w:rPr>
                <w:rFonts w:hint="default" w:ascii="Times New Roman" w:hAnsi="Times New Roman" w:cs="Times New Roman"/>
                <w:sz w:val="20"/>
                <w:szCs w:val="20"/>
              </w:rPr>
            </w:pPr>
            <w:r>
              <w:rPr>
                <w:rFonts w:hint="default" w:ascii="Times New Roman" w:hAnsi="Times New Roman" w:cs="Times New Roman"/>
                <w:sz w:val="20"/>
                <w:szCs w:val="20"/>
              </w:rPr>
              <w:t>FFS whether NR-DC is included or not</w:t>
            </w:r>
          </w:p>
          <w:p w14:paraId="1C98B39E">
            <w:pPr>
              <w:snapToGrid w:val="0"/>
              <w:spacing w:after="120"/>
              <w:rPr>
                <w:rFonts w:hint="default" w:ascii="Times New Roman" w:hAnsi="Times New Roman" w:cs="Times New Roman" w:eastAsiaTheme="minorEastAsia"/>
                <w:bCs/>
                <w:sz w:val="20"/>
                <w:szCs w:val="20"/>
                <w:lang w:eastAsia="ko-KR"/>
              </w:rPr>
            </w:pPr>
            <w:r>
              <w:rPr>
                <w:rFonts w:hint="default" w:ascii="Times New Roman" w:hAnsi="Times New Roman" w:cs="Times New Roman"/>
                <w:bCs/>
                <w:sz w:val="20"/>
                <w:szCs w:val="20"/>
                <w:lang w:eastAsia="ko-KR"/>
              </w:rPr>
              <w:t xml:space="preserve">Design for solution 3 </w:t>
            </w:r>
            <w:r>
              <w:rPr>
                <w:rFonts w:hint="default" w:ascii="Times New Roman" w:hAnsi="Times New Roman" w:cs="Times New Roman"/>
                <w:bCs/>
                <w:sz w:val="20"/>
                <w:szCs w:val="20"/>
              </w:rPr>
              <w:t>(agreed in ad-hoc session)</w:t>
            </w:r>
          </w:p>
          <w:p w14:paraId="292F80AD">
            <w:pPr>
              <w:numPr>
                <w:ilvl w:val="0"/>
                <w:numId w:val="9"/>
              </w:numPr>
              <w:autoSpaceDN w:val="0"/>
              <w:snapToGrid w:val="0"/>
              <w:spacing w:after="120"/>
              <w:ind w:left="516" w:left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Option 3 is as a by-default for CSSF enhancement solution 3, unless RAN4 agreed to introduce a network indication for specific SCC to use 3</w:t>
            </w:r>
            <w:r>
              <w:rPr>
                <w:rFonts w:hint="default" w:ascii="Times New Roman" w:hAnsi="Times New Roman" w:cs="Times New Roman"/>
                <w:bCs/>
                <w:sz w:val="20"/>
                <w:szCs w:val="20"/>
                <w:vertAlign w:val="superscript"/>
                <w:lang w:eastAsia="ko-KR"/>
              </w:rPr>
              <w:t>rd</w:t>
            </w:r>
            <w:r>
              <w:rPr>
                <w:rFonts w:hint="default" w:ascii="Times New Roman" w:hAnsi="Times New Roman" w:cs="Times New Roman"/>
                <w:bCs/>
                <w:sz w:val="20"/>
                <w:szCs w:val="20"/>
                <w:lang w:eastAsia="ko-KR"/>
              </w:rPr>
              <w:t xml:space="preserve"> searcher in the future.</w:t>
            </w:r>
          </w:p>
          <w:p w14:paraId="1E68433E">
            <w:pPr>
              <w:numPr>
                <w:ilvl w:val="2"/>
                <w:numId w:val="9"/>
              </w:numPr>
              <w:overflowPunct w:val="0"/>
              <w:autoSpaceDE w:val="0"/>
              <w:autoSpaceDN w:val="0"/>
              <w:adjustRightInd w:val="0"/>
              <w:snapToGrid w:val="0"/>
              <w:spacing w:after="120"/>
              <w:ind w:left="1956" w:leftChars="0" w:hanging="357"/>
              <w:rPr>
                <w:rFonts w:hint="default" w:ascii="Times New Roman" w:hAnsi="Times New Roman" w:cs="Times New Roman"/>
                <w:sz w:val="20"/>
                <w:szCs w:val="20"/>
              </w:rPr>
            </w:pPr>
            <w:r>
              <w:rPr>
                <w:rFonts w:hint="default" w:ascii="Times New Roman" w:hAnsi="Times New Roman" w:cs="Times New Roman"/>
                <w:sz w:val="20"/>
                <w:szCs w:val="20"/>
              </w:rPr>
              <w:t>Option 3: For 3 searcher scenario, on top of keeping the legacy two (the first and the second) searchers sharing rule,</w:t>
            </w:r>
          </w:p>
          <w:p w14:paraId="20E86590">
            <w:pPr>
              <w:numPr>
                <w:ilvl w:val="3"/>
                <w:numId w:val="9"/>
              </w:numPr>
              <w:autoSpaceDN w:val="0"/>
              <w:snapToGrid w:val="0"/>
              <w:spacing w:after="120"/>
              <w:ind w:left="2676" w:leftChars="0" w:hanging="357"/>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the 3rd searcher resource sharing is same as the second searcher sharing.</w:t>
            </w:r>
          </w:p>
          <w:p w14:paraId="5273A7C3">
            <w:pPr>
              <w:snapToGrid w:val="0"/>
              <w:spacing w:after="12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Not support solution 2 in Rel-19.</w:t>
            </w:r>
          </w:p>
          <w:p w14:paraId="55459809">
            <w:pPr>
              <w:snapToGrid w:val="0"/>
              <w:spacing w:after="120"/>
              <w:rPr>
                <w:rFonts w:hint="default" w:ascii="Times New Roman" w:hAnsi="Times New Roman" w:cs="Times New Roman"/>
                <w:bCs/>
                <w:sz w:val="20"/>
                <w:szCs w:val="20"/>
                <w:lang w:val="en-US" w:eastAsia="zh-CN"/>
              </w:rPr>
            </w:pPr>
          </w:p>
        </w:tc>
      </w:tr>
    </w:tbl>
    <w:p w14:paraId="3630EC5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026482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lang w:val="en-US" w:eastAsia="zh-CN"/>
        </w:rPr>
        <w:t xml:space="preserve">In last meeting, it is agreed to support solution 3 (perform CSSF enhancement based on 3 searchers). The detailed design of solution 3 is duplicated as below. For 3 searcher scenario, on top of keeping the legacy two (the first and the second) searchers sharing rule, the </w:t>
      </w:r>
      <w:r>
        <w:rPr>
          <w:rFonts w:hint="default" w:ascii="Times New Roman" w:hAnsi="Times New Roman" w:cs="Times New Roman"/>
          <w:sz w:val="20"/>
          <w:szCs w:val="20"/>
          <w:highlight w:val="none"/>
        </w:rPr>
        <w:t>3rd searcher resource sharing is same as the second searcher sharing.</w:t>
      </w:r>
      <w:r>
        <w:rPr>
          <w:rFonts w:hint="eastAsia" w:ascii="Times New Roman" w:hAnsi="Times New Roman" w:cs="Times New Roman"/>
          <w:sz w:val="20"/>
          <w:szCs w:val="20"/>
          <w:highlight w:val="none"/>
          <w:lang w:val="en-US" w:eastAsia="zh-CN"/>
        </w:rPr>
        <w:t xml:space="preserve"> </w:t>
      </w:r>
    </w:p>
    <w:p w14:paraId="149FDF0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legacy 2 searcher case, one searcher is dedicated for PCC measurement. For FR1, all the SCCs share the 2nd searcher. For FR2, 50% of the 2nd searcher is for FR2 SCC where neighbour cell measurement is required, and the other 50% of the 2nd searcher is for FR2 SCC where neighbour cell measurement is not required, inter-frequency MO with no measurement gap and E-UTRA inter-RAT MO with no measurement gap. </w:t>
      </w:r>
    </w:p>
    <w:p w14:paraId="49790F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lang w:val="en-US" w:eastAsia="zh-CN"/>
        </w:rPr>
        <w:t xml:space="preserve">It was agreed that the </w:t>
      </w:r>
      <w:r>
        <w:rPr>
          <w:rFonts w:hint="default" w:ascii="Times New Roman" w:hAnsi="Times New Roman" w:cs="Times New Roman"/>
          <w:sz w:val="20"/>
          <w:szCs w:val="20"/>
          <w:highlight w:val="none"/>
        </w:rPr>
        <w:t>3rd searcher resource sharing is same as the second searcher sharing.</w:t>
      </w:r>
      <w:r>
        <w:rPr>
          <w:rFonts w:hint="eastAsia" w:ascii="Times New Roman" w:hAnsi="Times New Roman" w:cs="Times New Roman"/>
          <w:sz w:val="20"/>
          <w:szCs w:val="20"/>
          <w:highlight w:val="none"/>
          <w:lang w:val="en-US" w:eastAsia="zh-CN"/>
        </w:rPr>
        <w:t xml:space="preserve"> With this assumption, f</w:t>
      </w:r>
      <w:r>
        <w:rPr>
          <w:rFonts w:hint="eastAsia" w:ascii="Times New Roman" w:hAnsi="Times New Roman" w:cs="Times New Roman"/>
          <w:sz w:val="20"/>
          <w:szCs w:val="20"/>
          <w:lang w:val="en-US" w:eastAsia="zh-CN"/>
        </w:rPr>
        <w:t>or FR1, all the SCCs share the 2nd and 3</w:t>
      </w:r>
      <w:r>
        <w:rPr>
          <w:rFonts w:hint="eastAsia" w:ascii="Times New Roman" w:hAnsi="Times New Roman" w:cs="Times New Roman"/>
          <w:sz w:val="20"/>
          <w:szCs w:val="20"/>
          <w:vertAlign w:val="superscript"/>
          <w:lang w:val="en-US" w:eastAsia="zh-CN"/>
        </w:rPr>
        <w:t>rd</w:t>
      </w:r>
      <w:r>
        <w:rPr>
          <w:rFonts w:hint="eastAsia" w:ascii="Times New Roman" w:hAnsi="Times New Roman" w:cs="Times New Roman"/>
          <w:sz w:val="20"/>
          <w:szCs w:val="20"/>
          <w:lang w:val="en-US" w:eastAsia="zh-CN"/>
        </w:rPr>
        <w:t xml:space="preserve"> searcher. For FR2, 50% of the 2nd searcher and 50% of the 3rd searcher are for FR2 SCC where neighbour cell measurement is required, and the other 50% of the 2nd searcher and the other 50% of the 3rd searcher are for FR2 SCC where neighbour cell measurement is not required, inter-frequency MO with no measurement gap and E-UTRA inter-RAT MO with no measurement gap. Based on above consideration, it is necesary to define test cases to guarantee the performance for the case of three searchers.</w:t>
      </w:r>
    </w:p>
    <w:p w14:paraId="0764E69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for solution 3 (perform CSSF enhancement based on 3 searchers), it is proposed to define test cases for </w:t>
      </w:r>
      <w:r>
        <w:rPr>
          <w:rFonts w:hint="default" w:ascii="Times New Roman" w:hAnsi="Times New Roman" w:cs="Times New Roman"/>
          <w:b/>
          <w:bCs/>
          <w:i/>
          <w:iCs/>
          <w:sz w:val="20"/>
          <w:szCs w:val="20"/>
        </w:rPr>
        <w:t>FR1 scenario</w:t>
      </w:r>
      <w:r>
        <w:rPr>
          <w:rFonts w:hint="eastAsia"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rPr>
        <w:t>FR1 + FR2 scenario</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PCell is FR1</w:t>
      </w:r>
      <w:r>
        <w:rPr>
          <w:rFonts w:hint="eastAsia" w:ascii="Times New Roman" w:hAnsi="Times New Roman" w:cs="Times New Roman"/>
          <w:b/>
          <w:bCs/>
          <w:i/>
          <w:iCs/>
          <w:sz w:val="20"/>
          <w:szCs w:val="20"/>
          <w:lang w:val="en-US" w:eastAsia="zh-CN"/>
        </w:rPr>
        <w:t>).</w:t>
      </w:r>
    </w:p>
    <w:p w14:paraId="56A64B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RRM performance requirements of FR2-1 SSB based L3 measurement delay reduction for connected mode. The proposals are:</w:t>
      </w:r>
    </w:p>
    <w:p w14:paraId="4993764A">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Rx beam sweeping factor optimization, it is proposed to define test cases for scenario 1/2/3/4/5/7.</w:t>
      </w:r>
    </w:p>
    <w:p w14:paraId="7BADFA8A">
      <w:pPr>
        <w:pStyle w:val="10"/>
        <w:numPr>
          <w:ilvl w:val="0"/>
          <w:numId w:val="10"/>
        </w:numPr>
        <w:overflowPunct/>
        <w:autoSpaceDE/>
        <w:autoSpaceDN/>
        <w:adjustRightInd/>
        <w:ind w:left="840" w:leftChars="0" w:hanging="420" w:firstLineChars="0"/>
        <w:textAlignment w:val="auto"/>
        <w:rPr>
          <w:rFonts w:hint="default" w:ascii="Times New Roman" w:hAnsi="Times New Roman" w:eastAsia="宋体" w:cs="Times New Roman"/>
          <w:b/>
          <w:bCs/>
          <w:i/>
          <w:iCs/>
          <w:sz w:val="20"/>
          <w:szCs w:val="20"/>
          <w:u w:val="none"/>
        </w:rPr>
      </w:pPr>
      <w:bookmarkStart w:id="8" w:name="_GoBack"/>
      <w:r>
        <w:rPr>
          <w:rFonts w:hint="default" w:ascii="Times New Roman" w:hAnsi="Times New Roman" w:cs="Times New Roman"/>
          <w:b/>
          <w:bCs/>
          <w:i/>
          <w:iCs/>
          <w:sz w:val="20"/>
          <w:szCs w:val="20"/>
          <w:u w:val="none"/>
        </w:rPr>
        <w:t>Scenario 1</w:t>
      </w:r>
      <w:r>
        <w:rPr>
          <w:rFonts w:hint="default" w:ascii="Times New Roman" w:hAnsi="Times New Roman" w:eastAsia="宋体" w:cs="Times New Roman"/>
          <w:b/>
          <w:bCs/>
          <w:i/>
          <w:iCs/>
          <w:sz w:val="20"/>
          <w:szCs w:val="20"/>
          <w:u w:val="none"/>
        </w:rPr>
        <w:t xml:space="preserve">: SSB based Intra-frequency measurement without MG, including </w:t>
      </w:r>
      <w:r>
        <w:rPr>
          <w:rFonts w:hint="default" w:ascii="Times New Roman" w:hAnsi="Times New Roman" w:cs="Times New Roman"/>
          <w:b/>
          <w:bCs/>
          <w:i/>
          <w:iCs/>
          <w:sz w:val="20"/>
          <w:szCs w:val="20"/>
          <w:u w:val="none"/>
        </w:rPr>
        <w:t>T</w:t>
      </w:r>
      <w:r>
        <w:rPr>
          <w:rFonts w:hint="default" w:ascii="Times New Roman" w:hAnsi="Times New Roman" w:cs="Times New Roman"/>
          <w:b/>
          <w:bCs/>
          <w:i/>
          <w:iCs/>
          <w:sz w:val="20"/>
          <w:szCs w:val="20"/>
          <w:u w:val="none"/>
          <w:vertAlign w:val="subscript"/>
        </w:rPr>
        <w:t>PSS/SSS_sync_intra</w:t>
      </w:r>
      <w:r>
        <w:rPr>
          <w:rFonts w:hint="default" w:ascii="Times New Roman" w:hAnsi="Times New Roman" w:cs="Times New Roman"/>
          <w:b/>
          <w:bCs/>
          <w:i/>
          <w:iCs/>
          <w:sz w:val="20"/>
          <w:szCs w:val="20"/>
          <w:u w:val="none"/>
        </w:rPr>
        <w:t xml:space="preserve"> and T</w:t>
      </w:r>
      <w:r>
        <w:rPr>
          <w:rFonts w:hint="default" w:ascii="Times New Roman" w:hAnsi="Times New Roman" w:cs="Times New Roman"/>
          <w:b/>
          <w:bCs/>
          <w:i/>
          <w:iCs/>
          <w:sz w:val="20"/>
          <w:szCs w:val="20"/>
          <w:u w:val="none"/>
          <w:vertAlign w:val="subscript"/>
        </w:rPr>
        <w:t>SSB_measurement_period_intra</w:t>
      </w:r>
    </w:p>
    <w:p w14:paraId="5C99CC82">
      <w:pPr>
        <w:pStyle w:val="10"/>
        <w:numPr>
          <w:ilvl w:val="0"/>
          <w:numId w:val="10"/>
        </w:numPr>
        <w:overflowPunct/>
        <w:autoSpaceDE/>
        <w:autoSpaceDN/>
        <w:adjustRightInd/>
        <w:ind w:left="840" w:leftChars="0" w:hanging="420" w:firstLineChars="0"/>
        <w:textAlignment w:val="auto"/>
        <w:rPr>
          <w:rFonts w:hint="default" w:ascii="Times New Roman" w:hAnsi="Times New Roman" w:eastAsia="宋体" w:cs="Times New Roman"/>
          <w:b/>
          <w:bCs/>
          <w:i/>
          <w:iCs/>
          <w:sz w:val="20"/>
          <w:szCs w:val="20"/>
          <w:u w:val="none"/>
        </w:rPr>
      </w:pPr>
      <w:r>
        <w:rPr>
          <w:rFonts w:hint="default" w:ascii="Times New Roman" w:hAnsi="Times New Roman" w:cs="Times New Roman"/>
          <w:b/>
          <w:bCs/>
          <w:i/>
          <w:iCs/>
          <w:sz w:val="20"/>
          <w:szCs w:val="20"/>
          <w:u w:val="none"/>
        </w:rPr>
        <w:t>Scenario 2</w:t>
      </w:r>
      <w:r>
        <w:rPr>
          <w:rFonts w:hint="default" w:ascii="Times New Roman" w:hAnsi="Times New Roman" w:eastAsia="宋体" w:cs="Times New Roman"/>
          <w:b/>
          <w:bCs/>
          <w:i/>
          <w:iCs/>
          <w:sz w:val="20"/>
          <w:szCs w:val="20"/>
          <w:u w:val="none"/>
        </w:rPr>
        <w:t xml:space="preserve">: SSB based Intra-frequency measurement with MG, including </w:t>
      </w:r>
      <w:r>
        <w:rPr>
          <w:rFonts w:hint="default" w:ascii="Times New Roman" w:hAnsi="Times New Roman" w:cs="Times New Roman"/>
          <w:b/>
          <w:bCs/>
          <w:i/>
          <w:iCs/>
          <w:sz w:val="20"/>
          <w:szCs w:val="20"/>
          <w:u w:val="none"/>
        </w:rPr>
        <w:t>T</w:t>
      </w:r>
      <w:r>
        <w:rPr>
          <w:rFonts w:hint="default" w:ascii="Times New Roman" w:hAnsi="Times New Roman" w:cs="Times New Roman"/>
          <w:b/>
          <w:bCs/>
          <w:i/>
          <w:iCs/>
          <w:sz w:val="20"/>
          <w:szCs w:val="20"/>
          <w:u w:val="none"/>
          <w:vertAlign w:val="subscript"/>
        </w:rPr>
        <w:t>PSS/SSS_sync_intra</w:t>
      </w:r>
      <w:r>
        <w:rPr>
          <w:rFonts w:hint="default" w:ascii="Times New Roman" w:hAnsi="Times New Roman" w:cs="Times New Roman"/>
          <w:b/>
          <w:bCs/>
          <w:i/>
          <w:iCs/>
          <w:sz w:val="20"/>
          <w:szCs w:val="20"/>
          <w:u w:val="none"/>
        </w:rPr>
        <w:t xml:space="preserve"> and T</w:t>
      </w:r>
      <w:r>
        <w:rPr>
          <w:rFonts w:hint="default" w:ascii="Times New Roman" w:hAnsi="Times New Roman" w:cs="Times New Roman"/>
          <w:b/>
          <w:bCs/>
          <w:i/>
          <w:iCs/>
          <w:sz w:val="20"/>
          <w:szCs w:val="20"/>
          <w:u w:val="none"/>
          <w:vertAlign w:val="subscript"/>
        </w:rPr>
        <w:t>SSB_measurement_period_intra</w:t>
      </w:r>
    </w:p>
    <w:p w14:paraId="56F61C5C">
      <w:pPr>
        <w:pStyle w:val="10"/>
        <w:numPr>
          <w:ilvl w:val="0"/>
          <w:numId w:val="10"/>
        </w:numPr>
        <w:overflowPunct/>
        <w:autoSpaceDE/>
        <w:autoSpaceDN/>
        <w:adjustRightInd/>
        <w:ind w:left="840" w:leftChars="0" w:hanging="420" w:firstLineChars="0"/>
        <w:textAlignment w:val="auto"/>
        <w:rPr>
          <w:rFonts w:hint="default" w:ascii="Times New Roman" w:hAnsi="Times New Roman" w:eastAsia="宋体" w:cs="Times New Roman"/>
          <w:b/>
          <w:bCs/>
          <w:i/>
          <w:iCs/>
          <w:sz w:val="20"/>
          <w:szCs w:val="20"/>
          <w:u w:val="none"/>
        </w:rPr>
      </w:pPr>
      <w:r>
        <w:rPr>
          <w:rFonts w:hint="default" w:ascii="Times New Roman" w:hAnsi="Times New Roman" w:cs="Times New Roman"/>
          <w:b/>
          <w:bCs/>
          <w:i/>
          <w:iCs/>
          <w:sz w:val="20"/>
          <w:szCs w:val="20"/>
          <w:u w:val="none"/>
        </w:rPr>
        <w:t>Scenario 3</w:t>
      </w:r>
      <w:r>
        <w:rPr>
          <w:rFonts w:hint="default" w:ascii="Times New Roman" w:hAnsi="Times New Roman" w:eastAsia="宋体" w:cs="Times New Roman"/>
          <w:b/>
          <w:bCs/>
          <w:i/>
          <w:iCs/>
          <w:sz w:val="20"/>
          <w:szCs w:val="20"/>
          <w:u w:val="none"/>
        </w:rPr>
        <w:t xml:space="preserve">: SSB based Inter-frequency measurement without MG, including </w:t>
      </w:r>
      <w:r>
        <w:rPr>
          <w:rFonts w:hint="default" w:ascii="Times New Roman" w:hAnsi="Times New Roman" w:cs="Times New Roman"/>
          <w:b/>
          <w:bCs/>
          <w:i/>
          <w:iCs/>
          <w:sz w:val="20"/>
          <w:szCs w:val="20"/>
          <w:u w:val="none"/>
        </w:rPr>
        <w:t>T</w:t>
      </w:r>
      <w:r>
        <w:rPr>
          <w:rFonts w:hint="default" w:ascii="Times New Roman" w:hAnsi="Times New Roman" w:cs="Times New Roman"/>
          <w:b/>
          <w:bCs/>
          <w:i/>
          <w:iCs/>
          <w:sz w:val="20"/>
          <w:szCs w:val="20"/>
          <w:u w:val="none"/>
          <w:vertAlign w:val="subscript"/>
        </w:rPr>
        <w:t>PSS/SSS_sync_inter</w:t>
      </w:r>
      <w:r>
        <w:rPr>
          <w:rFonts w:hint="default" w:ascii="Times New Roman" w:hAnsi="Times New Roman" w:cs="Times New Roman"/>
          <w:b/>
          <w:bCs/>
          <w:i/>
          <w:iCs/>
          <w:sz w:val="20"/>
          <w:szCs w:val="20"/>
          <w:u w:val="none"/>
        </w:rPr>
        <w:t>, T</w:t>
      </w:r>
      <w:r>
        <w:rPr>
          <w:rFonts w:hint="default" w:ascii="Times New Roman" w:hAnsi="Times New Roman" w:cs="Times New Roman"/>
          <w:b/>
          <w:bCs/>
          <w:i/>
          <w:iCs/>
          <w:sz w:val="20"/>
          <w:szCs w:val="20"/>
          <w:u w:val="none"/>
          <w:vertAlign w:val="subscript"/>
        </w:rPr>
        <w:t>SSB_time_index_inter</w:t>
      </w:r>
      <w:r>
        <w:rPr>
          <w:rFonts w:hint="default" w:ascii="Times New Roman" w:hAnsi="Times New Roman" w:cs="Times New Roman"/>
          <w:b/>
          <w:bCs/>
          <w:i/>
          <w:iCs/>
          <w:sz w:val="20"/>
          <w:szCs w:val="20"/>
          <w:u w:val="none"/>
        </w:rPr>
        <w:t xml:space="preserve"> and T</w:t>
      </w:r>
      <w:r>
        <w:rPr>
          <w:rFonts w:hint="default" w:ascii="Times New Roman" w:hAnsi="Times New Roman" w:cs="Times New Roman"/>
          <w:b/>
          <w:bCs/>
          <w:i/>
          <w:iCs/>
          <w:sz w:val="20"/>
          <w:szCs w:val="20"/>
          <w:u w:val="none"/>
          <w:vertAlign w:val="subscript"/>
        </w:rPr>
        <w:t>SSB_measurement_period_inter</w:t>
      </w:r>
    </w:p>
    <w:p w14:paraId="6D1DF253">
      <w:pPr>
        <w:pStyle w:val="10"/>
        <w:numPr>
          <w:ilvl w:val="0"/>
          <w:numId w:val="10"/>
        </w:numPr>
        <w:overflowPunct/>
        <w:autoSpaceDE/>
        <w:autoSpaceDN/>
        <w:adjustRightInd/>
        <w:ind w:left="840" w:leftChars="0" w:hanging="420" w:firstLineChars="0"/>
        <w:textAlignment w:val="auto"/>
        <w:rPr>
          <w:rFonts w:hint="default" w:ascii="Times New Roman" w:hAnsi="Times New Roman" w:eastAsia="宋体" w:cs="Times New Roman"/>
          <w:b/>
          <w:bCs/>
          <w:i/>
          <w:iCs/>
          <w:sz w:val="20"/>
          <w:szCs w:val="20"/>
          <w:u w:val="none"/>
        </w:rPr>
      </w:pPr>
      <w:r>
        <w:rPr>
          <w:rFonts w:hint="default" w:ascii="Times New Roman" w:hAnsi="Times New Roman" w:cs="Times New Roman"/>
          <w:b/>
          <w:bCs/>
          <w:i/>
          <w:iCs/>
          <w:sz w:val="20"/>
          <w:szCs w:val="20"/>
          <w:u w:val="none"/>
        </w:rPr>
        <w:t>Scenario 4</w:t>
      </w:r>
      <w:r>
        <w:rPr>
          <w:rFonts w:hint="default" w:ascii="Times New Roman" w:hAnsi="Times New Roman" w:eastAsia="宋体" w:cs="Times New Roman"/>
          <w:b/>
          <w:bCs/>
          <w:i/>
          <w:iCs/>
          <w:sz w:val="20"/>
          <w:szCs w:val="20"/>
          <w:u w:val="none"/>
        </w:rPr>
        <w:t xml:space="preserve">: SSB based Inter-frequency measurement with MG, including </w:t>
      </w:r>
      <w:r>
        <w:rPr>
          <w:rFonts w:hint="default" w:ascii="Times New Roman" w:hAnsi="Times New Roman" w:cs="Times New Roman"/>
          <w:b/>
          <w:bCs/>
          <w:i/>
          <w:iCs/>
          <w:sz w:val="20"/>
          <w:szCs w:val="20"/>
          <w:u w:val="none"/>
        </w:rPr>
        <w:t>T</w:t>
      </w:r>
      <w:r>
        <w:rPr>
          <w:rFonts w:hint="default" w:ascii="Times New Roman" w:hAnsi="Times New Roman" w:cs="Times New Roman"/>
          <w:b/>
          <w:bCs/>
          <w:i/>
          <w:iCs/>
          <w:sz w:val="20"/>
          <w:szCs w:val="20"/>
          <w:u w:val="none"/>
          <w:vertAlign w:val="subscript"/>
        </w:rPr>
        <w:t>PSS/SSS_sync_inter</w:t>
      </w:r>
      <w:r>
        <w:rPr>
          <w:rFonts w:hint="default" w:ascii="Times New Roman" w:hAnsi="Times New Roman" w:cs="Times New Roman"/>
          <w:b/>
          <w:bCs/>
          <w:i/>
          <w:iCs/>
          <w:sz w:val="20"/>
          <w:szCs w:val="20"/>
          <w:u w:val="none"/>
        </w:rPr>
        <w:t>,  T</w:t>
      </w:r>
      <w:r>
        <w:rPr>
          <w:rFonts w:hint="default" w:ascii="Times New Roman" w:hAnsi="Times New Roman" w:cs="Times New Roman"/>
          <w:b/>
          <w:bCs/>
          <w:i/>
          <w:iCs/>
          <w:sz w:val="20"/>
          <w:szCs w:val="20"/>
          <w:u w:val="none"/>
          <w:vertAlign w:val="subscript"/>
        </w:rPr>
        <w:t>SSB_time_index_inter</w:t>
      </w:r>
      <w:r>
        <w:rPr>
          <w:rFonts w:hint="default" w:ascii="Times New Roman" w:hAnsi="Times New Roman" w:cs="Times New Roman"/>
          <w:b/>
          <w:bCs/>
          <w:i/>
          <w:iCs/>
          <w:sz w:val="20"/>
          <w:szCs w:val="20"/>
          <w:u w:val="none"/>
        </w:rPr>
        <w:t xml:space="preserve"> and T</w:t>
      </w:r>
      <w:r>
        <w:rPr>
          <w:rFonts w:hint="default" w:ascii="Times New Roman" w:hAnsi="Times New Roman" w:cs="Times New Roman"/>
          <w:b/>
          <w:bCs/>
          <w:i/>
          <w:iCs/>
          <w:sz w:val="20"/>
          <w:szCs w:val="20"/>
          <w:u w:val="none"/>
          <w:vertAlign w:val="subscript"/>
        </w:rPr>
        <w:t>SSB_measurement_period_inter</w:t>
      </w:r>
    </w:p>
    <w:p w14:paraId="6AAF089E">
      <w:pPr>
        <w:keepNext w:val="0"/>
        <w:keepLines w:val="0"/>
        <w:pageBreakBefore w:val="0"/>
        <w:numPr>
          <w:ilvl w:val="0"/>
          <w:numId w:val="10"/>
        </w:numPr>
        <w:kinsoku/>
        <w:wordWrap/>
        <w:overflowPunct/>
        <w:topLinePunct w:val="0"/>
        <w:autoSpaceDE/>
        <w:autoSpaceDN/>
        <w:bidi w:val="0"/>
        <w:adjustRightInd/>
        <w:snapToGrid/>
        <w:spacing w:before="180" w:after="180" w:line="240" w:lineRule="auto"/>
        <w:ind w:left="840" w:leftChars="0" w:hanging="420" w:firstLineChars="0"/>
        <w:textAlignment w:val="auto"/>
        <w:rPr>
          <w:rFonts w:hint="default" w:ascii="Times New Roman" w:hAnsi="Times New Roman" w:cs="Times New Roman"/>
          <w:b/>
          <w:bCs/>
          <w:i/>
          <w:iCs/>
          <w:sz w:val="20"/>
          <w:szCs w:val="20"/>
          <w:u w:val="none"/>
          <w:lang w:val="en-US" w:eastAsia="zh-CN"/>
        </w:rPr>
      </w:pPr>
      <w:r>
        <w:rPr>
          <w:rFonts w:hint="default" w:ascii="Times New Roman" w:hAnsi="Times New Roman" w:cs="Times New Roman"/>
          <w:b/>
          <w:bCs/>
          <w:i/>
          <w:iCs/>
          <w:sz w:val="20"/>
          <w:szCs w:val="20"/>
          <w:u w:val="none"/>
        </w:rPr>
        <w:t>Scenario 5</w:t>
      </w:r>
      <w:r>
        <w:rPr>
          <w:rFonts w:hint="default" w:ascii="Times New Roman" w:hAnsi="Times New Roman" w:eastAsia="宋体" w:cs="Times New Roman"/>
          <w:b/>
          <w:bCs/>
          <w:i/>
          <w:iCs/>
          <w:sz w:val="20"/>
          <w:szCs w:val="20"/>
          <w:u w:val="none"/>
        </w:rPr>
        <w:t xml:space="preserve">: Handover </w:t>
      </w:r>
    </w:p>
    <w:p w14:paraId="36B5E449">
      <w:pPr>
        <w:keepNext w:val="0"/>
        <w:keepLines w:val="0"/>
        <w:pageBreakBefore w:val="0"/>
        <w:numPr>
          <w:ilvl w:val="0"/>
          <w:numId w:val="10"/>
        </w:numPr>
        <w:kinsoku/>
        <w:wordWrap/>
        <w:overflowPunct/>
        <w:topLinePunct w:val="0"/>
        <w:autoSpaceDE/>
        <w:autoSpaceDN/>
        <w:bidi w:val="0"/>
        <w:adjustRightInd/>
        <w:snapToGrid/>
        <w:spacing w:before="180" w:after="180" w:line="240" w:lineRule="auto"/>
        <w:ind w:left="840" w:leftChars="0" w:hanging="420" w:firstLineChars="0"/>
        <w:textAlignment w:val="auto"/>
        <w:rPr>
          <w:rFonts w:hint="default" w:ascii="Times New Roman" w:hAnsi="Times New Roman" w:cs="Times New Roman"/>
          <w:b/>
          <w:bCs/>
          <w:i/>
          <w:iCs/>
          <w:sz w:val="20"/>
          <w:szCs w:val="20"/>
          <w:u w:val="none"/>
          <w:lang w:val="en-US" w:eastAsia="zh-CN"/>
        </w:rPr>
      </w:pPr>
      <w:r>
        <w:rPr>
          <w:rFonts w:hint="default" w:ascii="Times New Roman" w:hAnsi="Times New Roman" w:cs="Times New Roman"/>
          <w:b/>
          <w:bCs/>
          <w:i/>
          <w:iCs/>
          <w:sz w:val="20"/>
          <w:szCs w:val="20"/>
          <w:u w:val="none"/>
        </w:rPr>
        <w:t>Scenario 7</w:t>
      </w:r>
      <w:r>
        <w:rPr>
          <w:rFonts w:hint="default" w:ascii="Times New Roman" w:hAnsi="Times New Roman" w:eastAsia="宋体" w:cs="Times New Roman"/>
          <w:b/>
          <w:bCs/>
          <w:i/>
          <w:iCs/>
          <w:sz w:val="20"/>
          <w:szCs w:val="20"/>
          <w:u w:val="none"/>
        </w:rPr>
        <w:t xml:space="preserve">: </w:t>
      </w:r>
      <w:r>
        <w:rPr>
          <w:rFonts w:hint="default" w:ascii="Times New Roman" w:hAnsi="Times New Roman" w:cs="Times New Roman"/>
          <w:b/>
          <w:bCs/>
          <w:i/>
          <w:iCs/>
          <w:sz w:val="20"/>
          <w:szCs w:val="20"/>
          <w:u w:val="none"/>
        </w:rPr>
        <w:t>RRC Re-establishment/RRC Connection Release with Redirection</w:t>
      </w:r>
      <w:r>
        <w:rPr>
          <w:rFonts w:hint="default" w:ascii="Times New Roman" w:hAnsi="Times New Roman" w:eastAsia="宋体" w:cs="Times New Roman"/>
          <w:b/>
          <w:bCs/>
          <w:i/>
          <w:iCs/>
          <w:sz w:val="20"/>
          <w:szCs w:val="20"/>
          <w:u w:val="none"/>
        </w:rPr>
        <w:t xml:space="preserve"> </w:t>
      </w:r>
    </w:p>
    <w:bookmarkEnd w:id="8"/>
    <w:p w14:paraId="022747D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for Rx beam sweeping factor optimization, it is proposed to define test cases for both non-DRX and DRX.  </w:t>
      </w:r>
    </w:p>
    <w:p w14:paraId="75B4A2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it is proposed to define test cases for solution 1 (measure one serving CC per band).</w:t>
      </w:r>
    </w:p>
    <w:p w14:paraId="70F28BF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for solution 3 (perform CSSF enhancement based on 3 searchers), it is proposed to define test cases for </w:t>
      </w:r>
      <w:r>
        <w:rPr>
          <w:rFonts w:hint="default" w:ascii="Times New Roman" w:hAnsi="Times New Roman" w:cs="Times New Roman"/>
          <w:b/>
          <w:bCs/>
          <w:i/>
          <w:iCs/>
          <w:sz w:val="20"/>
          <w:szCs w:val="20"/>
        </w:rPr>
        <w:t>FR1 scenario</w:t>
      </w:r>
      <w:r>
        <w:rPr>
          <w:rFonts w:hint="eastAsia" w:ascii="Times New Roman" w:hAnsi="Times New Roman" w:cs="Times New Roman"/>
          <w:b/>
          <w:bCs/>
          <w:i/>
          <w:iCs/>
          <w:sz w:val="20"/>
          <w:szCs w:val="20"/>
          <w:lang w:val="en-US" w:eastAsia="zh-CN"/>
        </w:rPr>
        <w:t xml:space="preserve"> and </w:t>
      </w:r>
      <w:r>
        <w:rPr>
          <w:rFonts w:hint="default" w:ascii="Times New Roman" w:hAnsi="Times New Roman" w:cs="Times New Roman"/>
          <w:b/>
          <w:bCs/>
          <w:i/>
          <w:iCs/>
          <w:sz w:val="20"/>
          <w:szCs w:val="20"/>
        </w:rPr>
        <w:t>FR1 + FR2 scenario</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PCell is FR1</w:t>
      </w:r>
      <w:r>
        <w:rPr>
          <w:rFonts w:hint="eastAsia" w:ascii="Times New Roman" w:hAnsi="Times New Roman" w:cs="Times New Roman"/>
          <w:b/>
          <w:bCs/>
          <w:i/>
          <w:iCs/>
          <w:sz w:val="20"/>
          <w:szCs w:val="20"/>
          <w:lang w:val="en-US" w:eastAsia="zh-CN"/>
        </w:rPr>
        <w:t>).</w:t>
      </w:r>
    </w:p>
    <w:p w14:paraId="7343F3CF">
      <w:pPr>
        <w:tabs>
          <w:tab w:val="left" w:pos="1134"/>
        </w:tabs>
        <w:spacing w:after="180" w:line="240" w:lineRule="exact"/>
        <w:rPr>
          <w:rFonts w:hint="eastAsia" w:ascii="Times New Roman" w:hAnsi="Times New Roman"/>
          <w:sz w:val="20"/>
          <w:szCs w:val="20"/>
          <w:highlight w:val="none"/>
        </w:rPr>
      </w:pP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341B5EBE">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1"/>
        <w:framePr w:wrap="auto" w:vAnchor="margin" w:hAnchor="text" w:yAlign="inline"/>
        <w:ind w:right="400"/>
        <w:jc w:val="both"/>
        <w:rPr>
          <w:rFonts w:ascii="Times" w:hAnsi="Times" w:eastAsia="宋体"/>
          <w:b w:val="0"/>
          <w:sz w:val="20"/>
          <w:lang w:eastAsia="zh-CN"/>
        </w:rPr>
      </w:pPr>
    </w:p>
    <w:p w14:paraId="0324880D">
      <w:pPr>
        <w:pStyle w:val="11"/>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EEFDD97B"/>
    <w:multiLevelType w:val="multilevel"/>
    <w:tmpl w:val="EEFDD9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AEE4A34"/>
    <w:multiLevelType w:val="singleLevel"/>
    <w:tmpl w:val="1AEE4A34"/>
    <w:lvl w:ilvl="0" w:tentative="0">
      <w:start w:val="1"/>
      <w:numFmt w:val="bullet"/>
      <w:lvlText w:val=""/>
      <w:lvlJc w:val="left"/>
      <w:pPr>
        <w:tabs>
          <w:tab w:val="left" w:pos="420"/>
        </w:tabs>
        <w:ind w:left="840" w:hanging="420"/>
      </w:pPr>
      <w:rPr>
        <w:rFonts w:hint="default" w:ascii="Wingdings" w:hAnsi="Wingdings"/>
      </w:rPr>
    </w:lvl>
  </w:abstractNum>
  <w:abstractNum w:abstractNumId="5">
    <w:nsid w:val="1E9EF811"/>
    <w:multiLevelType w:val="singleLevel"/>
    <w:tmpl w:val="1E9EF811"/>
    <w:lvl w:ilvl="0" w:tentative="0">
      <w:start w:val="1"/>
      <w:numFmt w:val="decimal"/>
      <w:suff w:val="space"/>
      <w:lvlText w:val="[%1]"/>
      <w:lvlJc w:val="left"/>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8">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6"/>
  </w:num>
  <w:num w:numId="3">
    <w:abstractNumId w:val="7"/>
  </w:num>
  <w:num w:numId="4">
    <w:abstractNumId w:val="8"/>
  </w:num>
  <w:num w:numId="5">
    <w:abstractNumId w:val="0"/>
  </w:num>
  <w:num w:numId="6">
    <w:abstractNumId w:val="2"/>
  </w:num>
  <w:num w:numId="7">
    <w:abstractNumId w:val="1"/>
  </w:num>
  <w:num w:numId="8">
    <w:abstractNumId w:val="3"/>
  </w:num>
  <w:num w:numId="9">
    <w:abstractNumId w:val="9"/>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66675EE"/>
    <w:rsid w:val="06907413"/>
    <w:rsid w:val="08ED236E"/>
    <w:rsid w:val="095F3199"/>
    <w:rsid w:val="0A424F95"/>
    <w:rsid w:val="0C18633A"/>
    <w:rsid w:val="0D23491D"/>
    <w:rsid w:val="102962AF"/>
    <w:rsid w:val="14231F17"/>
    <w:rsid w:val="154B4C98"/>
    <w:rsid w:val="1A9346AF"/>
    <w:rsid w:val="1AFD104A"/>
    <w:rsid w:val="1CA473E9"/>
    <w:rsid w:val="1DBA5669"/>
    <w:rsid w:val="1DE91903"/>
    <w:rsid w:val="1E262080"/>
    <w:rsid w:val="1EA13FCF"/>
    <w:rsid w:val="20136430"/>
    <w:rsid w:val="210324B5"/>
    <w:rsid w:val="22F84732"/>
    <w:rsid w:val="238A445D"/>
    <w:rsid w:val="25E20F82"/>
    <w:rsid w:val="26960BDD"/>
    <w:rsid w:val="27C80F70"/>
    <w:rsid w:val="295A479C"/>
    <w:rsid w:val="2BB92149"/>
    <w:rsid w:val="2E7C01C6"/>
    <w:rsid w:val="342A6B27"/>
    <w:rsid w:val="360D33BD"/>
    <w:rsid w:val="36292328"/>
    <w:rsid w:val="39A706A6"/>
    <w:rsid w:val="3B511B0B"/>
    <w:rsid w:val="44525938"/>
    <w:rsid w:val="48823F01"/>
    <w:rsid w:val="49AF110F"/>
    <w:rsid w:val="4BBF2155"/>
    <w:rsid w:val="51B80221"/>
    <w:rsid w:val="534263BF"/>
    <w:rsid w:val="56185140"/>
    <w:rsid w:val="58875047"/>
    <w:rsid w:val="59B212B6"/>
    <w:rsid w:val="5C2B1D85"/>
    <w:rsid w:val="5D1E23CA"/>
    <w:rsid w:val="645A4B51"/>
    <w:rsid w:val="663E7534"/>
    <w:rsid w:val="66D222BD"/>
    <w:rsid w:val="6782683B"/>
    <w:rsid w:val="67A4673A"/>
    <w:rsid w:val="68112FCA"/>
    <w:rsid w:val="6A306848"/>
    <w:rsid w:val="6BBF44D0"/>
    <w:rsid w:val="6C1808E6"/>
    <w:rsid w:val="6C890C1C"/>
    <w:rsid w:val="6D673814"/>
    <w:rsid w:val="726D3849"/>
    <w:rsid w:val="73C17630"/>
    <w:rsid w:val="746C11B7"/>
    <w:rsid w:val="7A4D2F1A"/>
    <w:rsid w:val="7A656E5D"/>
    <w:rsid w:val="7C4E477F"/>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2025-03-28T07:33:34Z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